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D54B1" w14:textId="77777777" w:rsidR="00A87DE1" w:rsidRPr="00683D02" w:rsidRDefault="00A87DE1" w:rsidP="00A87DE1">
      <w:pPr>
        <w:pStyle w:val="Heading1"/>
        <w:rPr>
          <w:color w:val="0070C0"/>
        </w:rPr>
      </w:pPr>
      <w:r w:rsidRPr="00683D02">
        <w:rPr>
          <w:b w:val="0"/>
          <w:bCs/>
          <w:color w:val="0070C0"/>
          <w:sz w:val="32"/>
          <w:szCs w:val="32"/>
        </w:rPr>
        <w:t>Statement of Information</w:t>
      </w:r>
      <w:r w:rsidRPr="00683D02">
        <w:rPr>
          <w:b w:val="0"/>
          <w:bCs/>
          <w:color w:val="0070C0"/>
          <w:sz w:val="32"/>
          <w:szCs w:val="32"/>
        </w:rPr>
        <w:br/>
      </w:r>
      <w:r w:rsidRPr="00683D02">
        <w:rPr>
          <w:color w:val="0070C0"/>
        </w:rPr>
        <w:t>Multiple residential properties located in the Melbourne metropolitan area</w:t>
      </w:r>
    </w:p>
    <w:p w14:paraId="2966F1C8" w14:textId="77777777" w:rsidR="00A87DE1" w:rsidRPr="000F5215" w:rsidRDefault="00A87DE1" w:rsidP="00A87DE1">
      <w:pPr>
        <w:pStyle w:val="Bodystyle"/>
        <w:spacing w:after="240"/>
        <w:jc w:val="right"/>
        <w:rPr>
          <w:rFonts w:cs="Arial"/>
          <w:b/>
        </w:rPr>
      </w:pPr>
      <w:r w:rsidRPr="000F5215">
        <w:rPr>
          <w:rFonts w:cs="Arial"/>
          <w:b/>
        </w:rPr>
        <w:t xml:space="preserve">Section 47AF of the </w:t>
      </w:r>
      <w:r w:rsidRPr="000F5215">
        <w:rPr>
          <w:rFonts w:cs="Arial"/>
          <w:b/>
          <w:i/>
          <w:iCs/>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571"/>
      </w:tblGrid>
      <w:tr w:rsidR="00A87DE1" w:rsidRPr="00505113" w14:paraId="5A13EE64" w14:textId="77777777" w:rsidTr="00FE6461">
        <w:tc>
          <w:tcPr>
            <w:tcW w:w="9695" w:type="dxa"/>
            <w:shd w:val="clear" w:color="auto" w:fill="F2F2F2"/>
            <w:vAlign w:val="center"/>
          </w:tcPr>
          <w:p w14:paraId="6D564A37" w14:textId="77777777" w:rsidR="00A87DE1" w:rsidRPr="00885F65" w:rsidRDefault="00A87DE1" w:rsidP="00FE6461">
            <w:pPr>
              <w:pStyle w:val="BodyText"/>
            </w:pPr>
            <w:r w:rsidRPr="00885F65">
              <w:rPr>
                <w:b/>
              </w:rPr>
              <w:t xml:space="preserve">Instructions: </w:t>
            </w:r>
            <w:r w:rsidRPr="00885F65">
              <w:t>The instructions in this box do not form part of this Statement of Information and are not required to be included in the completed Statement of Information for the property being offered for sale.</w:t>
            </w:r>
          </w:p>
          <w:p w14:paraId="226A018A" w14:textId="77777777" w:rsidR="00A87DE1" w:rsidRPr="00565800" w:rsidRDefault="00A87DE1" w:rsidP="00FE6461">
            <w:pPr>
              <w:pStyle w:val="BodyText"/>
            </w:pPr>
            <w:r w:rsidRPr="00565800">
              <w:t>The Director of Consumer Affairs Victoria has approved this form of the Statement of Information for section 47AF</w:t>
            </w:r>
            <w:r>
              <w:t xml:space="preserve"> </w:t>
            </w:r>
            <w:r w:rsidRPr="00565800">
              <w:t xml:space="preserve">of the </w:t>
            </w:r>
            <w:r w:rsidRPr="00565800">
              <w:rPr>
                <w:i/>
              </w:rPr>
              <w:t>Estate Agents Act 1980</w:t>
            </w:r>
            <w:r w:rsidRPr="00565800">
              <w:t>.</w:t>
            </w:r>
          </w:p>
          <w:p w14:paraId="57C9D1CA" w14:textId="77777777" w:rsidR="00A87DE1" w:rsidRPr="00885F65" w:rsidRDefault="00A87DE1" w:rsidP="00FE6461">
            <w:pPr>
              <w:pStyle w:val="BodyText"/>
            </w:pPr>
            <w:r w:rsidRPr="00885F65">
              <w:t>The estate agent or agents’ representative engaged to sell the property is required to prepar</w:t>
            </w:r>
            <w:r>
              <w:t xml:space="preserve">e this Statement of Information. It </w:t>
            </w:r>
            <w:r w:rsidRPr="00885F65">
              <w:t xml:space="preserve">must be used when </w:t>
            </w:r>
            <w:r w:rsidRPr="00885F65">
              <w:rPr>
                <w:b/>
              </w:rPr>
              <w:t>multiple units in a residential development located in the Melbourne metropolitan area</w:t>
            </w:r>
            <w:r w:rsidRPr="00885F65">
              <w:t xml:space="preserve"> are being offered for sale at the same time. The Determination setting out the local government areas that comprise the Melbourne metropolitan area is published on the Consumer Affairs Victoria website at </w:t>
            </w:r>
            <w:r w:rsidRPr="00885F65">
              <w:rPr>
                <w:b/>
              </w:rPr>
              <w:t>consumer.vic.gov.au/underquoting.</w:t>
            </w:r>
          </w:p>
          <w:p w14:paraId="7482173C" w14:textId="77777777" w:rsidR="00A87DE1" w:rsidRPr="00885F65" w:rsidRDefault="00A87DE1" w:rsidP="00FE6461">
            <w:pPr>
              <w:pStyle w:val="BodyText"/>
            </w:pPr>
            <w:r w:rsidRPr="00885F65">
              <w:t xml:space="preserve">If units of a similar type or class have the same pricing (for example, one bedroom units in a high rise position) a single indicative selling price may be listed for these types or classes of units collectively, rather than an indicative selling price for each individual unit. It must be clear that the indicative selling price is for a particular type or class of units. The indicative selling price may be expressed as a single price, or a price range with the difference between the upper and lower amounts not more than 10% of the lower amount. </w:t>
            </w:r>
          </w:p>
          <w:p w14:paraId="3DC2455E" w14:textId="77777777" w:rsidR="00A87DE1" w:rsidRPr="00885F65" w:rsidRDefault="00A87DE1" w:rsidP="00FE6461">
            <w:pPr>
              <w:pStyle w:val="BodyText"/>
            </w:pPr>
            <w:r w:rsidRPr="00885F65">
              <w:t xml:space="preserve">This Statement of Information must be provided to a prospective buyer within two business days of a request, included with any internet advertisement and displayed at any open for inspection for the property for sale. </w:t>
            </w:r>
          </w:p>
          <w:p w14:paraId="60EC08A1" w14:textId="3B0EE63C" w:rsidR="00A87DE1" w:rsidRPr="00505113" w:rsidRDefault="00A87DE1" w:rsidP="00FE6461">
            <w:pPr>
              <w:pStyle w:val="BodyText"/>
            </w:pPr>
            <w:r w:rsidRPr="00885F65">
              <w:t>It is recommended that the address of the property being offered for sale be checked at services.land.vic.gov.au/land</w:t>
            </w:r>
            <w:r w:rsidR="00016C1C">
              <w:t xml:space="preserve"> </w:t>
            </w:r>
            <w:r w:rsidRPr="00885F65">
              <w:t>channel/content/address</w:t>
            </w:r>
            <w:r w:rsidR="00016C1C">
              <w:t xml:space="preserve"> </w:t>
            </w:r>
            <w:r w:rsidRPr="00885F65">
              <w:t>Search before being entered in this Statement of Information.</w:t>
            </w:r>
          </w:p>
        </w:tc>
      </w:tr>
    </w:tbl>
    <w:p w14:paraId="49AD4D5E" w14:textId="77777777" w:rsidR="00A87DE1" w:rsidRPr="00DD5F57" w:rsidRDefault="00A87DE1" w:rsidP="00A87DE1">
      <w:pPr>
        <w:pStyle w:val="Heading2"/>
      </w:pPr>
      <w:r w:rsidRPr="00DD5F57">
        <w:t>Unit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386"/>
        <w:gridCol w:w="7190"/>
      </w:tblGrid>
      <w:tr w:rsidR="00A87DE1" w14:paraId="2A4753B0" w14:textId="77777777" w:rsidTr="00FE6461">
        <w:tc>
          <w:tcPr>
            <w:tcW w:w="2410" w:type="dxa"/>
            <w:tcBorders>
              <w:top w:val="nil"/>
              <w:left w:val="nil"/>
              <w:bottom w:val="nil"/>
            </w:tcBorders>
            <w:shd w:val="clear" w:color="auto" w:fill="auto"/>
            <w:vAlign w:val="center"/>
          </w:tcPr>
          <w:p w14:paraId="187DDD3A" w14:textId="77777777" w:rsidR="00A87DE1" w:rsidRPr="00FF367B" w:rsidRDefault="00A87DE1" w:rsidP="00FE6461">
            <w:pPr>
              <w:pStyle w:val="BodyText"/>
              <w:jc w:val="right"/>
            </w:pPr>
            <w:r w:rsidRPr="00DD5F57">
              <w:t>Address</w:t>
            </w:r>
            <w:r w:rsidRPr="00FF367B">
              <w:t xml:space="preserve"> </w:t>
            </w:r>
            <w:r>
              <w:br/>
            </w:r>
            <w:r>
              <w:rPr>
                <w:color w:val="595959"/>
              </w:rPr>
              <w:t>I</w:t>
            </w:r>
            <w:r w:rsidRPr="00811981">
              <w:rPr>
                <w:color w:val="595959"/>
              </w:rPr>
              <w:t>ncluding suburb and postcode</w:t>
            </w:r>
          </w:p>
        </w:tc>
        <w:tc>
          <w:tcPr>
            <w:tcW w:w="7285" w:type="dxa"/>
            <w:tcBorders>
              <w:bottom w:val="single" w:sz="4" w:space="0" w:color="auto"/>
            </w:tcBorders>
            <w:shd w:val="clear" w:color="auto" w:fill="auto"/>
            <w:vAlign w:val="center"/>
          </w:tcPr>
          <w:p w14:paraId="2F9CB7E3" w14:textId="26249875" w:rsidR="00A87DE1" w:rsidRPr="00FF367B" w:rsidRDefault="00A87DE1" w:rsidP="00FE6461">
            <w:pPr>
              <w:pStyle w:val="BodyText"/>
            </w:pPr>
            <w:r>
              <w:t xml:space="preserve"> Orchard Estate, Corner Leakes Rd &amp; Heartlands Blvd, Tarneit VIC 3029</w:t>
            </w:r>
          </w:p>
        </w:tc>
      </w:tr>
    </w:tbl>
    <w:p w14:paraId="0D6240B6" w14:textId="77777777" w:rsidR="00A87DE1" w:rsidRPr="00DD5F57" w:rsidRDefault="00A87DE1" w:rsidP="00A87DE1">
      <w:pPr>
        <w:pStyle w:val="Heading2"/>
      </w:pPr>
      <w:r w:rsidRPr="00DD5F57">
        <w:t>Indicative selling price</w:t>
      </w:r>
    </w:p>
    <w:p w14:paraId="0D593B52" w14:textId="77777777" w:rsidR="00A87DE1" w:rsidRDefault="00A87DE1" w:rsidP="00A87DE1">
      <w:pPr>
        <w:pStyle w:val="BodyText"/>
        <w:spacing w:after="120"/>
      </w:pPr>
      <w:r w:rsidRPr="0050113B">
        <w:t>For the meaning of this price see consumer</w:t>
      </w:r>
      <w:r>
        <w:t>.</w:t>
      </w:r>
      <w:r w:rsidRPr="0050113B">
        <w:t>vic.gov.au</w:t>
      </w:r>
      <w:r>
        <w:t xml:space="preserve">/ underquoting </w:t>
      </w:r>
      <w:r w:rsidRPr="008E43D2">
        <w:t>(*Delete single price or range as applicable)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37"/>
        <w:gridCol w:w="1268"/>
        <w:gridCol w:w="1542"/>
        <w:gridCol w:w="1130"/>
        <w:gridCol w:w="421"/>
        <w:gridCol w:w="1183"/>
      </w:tblGrid>
      <w:tr w:rsidR="00A87DE1" w:rsidRPr="00652060" w14:paraId="39F0E25E" w14:textId="77777777" w:rsidTr="00FE6461">
        <w:tc>
          <w:tcPr>
            <w:tcW w:w="4037" w:type="dxa"/>
            <w:tcBorders>
              <w:top w:val="nil"/>
              <w:left w:val="nil"/>
              <w:bottom w:val="single" w:sz="4" w:space="0" w:color="auto"/>
              <w:right w:val="nil"/>
            </w:tcBorders>
            <w:shd w:val="clear" w:color="auto" w:fill="auto"/>
            <w:vAlign w:val="bottom"/>
          </w:tcPr>
          <w:p w14:paraId="33456AEB" w14:textId="77777777" w:rsidR="00A87DE1" w:rsidRPr="00652060" w:rsidRDefault="00A87DE1" w:rsidP="00FE6461">
            <w:pPr>
              <w:pStyle w:val="BodyText"/>
              <w:jc w:val="center"/>
              <w:rPr>
                <w:b/>
              </w:rPr>
            </w:pPr>
            <w:r w:rsidRPr="00652060">
              <w:rPr>
                <w:b/>
              </w:rPr>
              <w:t>Unit type or class</w:t>
            </w:r>
          </w:p>
          <w:p w14:paraId="092380B5" w14:textId="77777777" w:rsidR="00A87DE1" w:rsidRPr="00811981" w:rsidRDefault="00A87DE1" w:rsidP="00FE6461">
            <w:pPr>
              <w:pStyle w:val="BodyText"/>
              <w:jc w:val="center"/>
              <w:rPr>
                <w:color w:val="595959"/>
              </w:rPr>
            </w:pPr>
            <w:r w:rsidRPr="00811981">
              <w:rPr>
                <w:color w:val="595959"/>
              </w:rPr>
              <w:t>e.g. One bedroom units</w:t>
            </w:r>
          </w:p>
        </w:tc>
        <w:tc>
          <w:tcPr>
            <w:tcW w:w="1268" w:type="dxa"/>
            <w:tcBorders>
              <w:top w:val="nil"/>
              <w:left w:val="nil"/>
              <w:bottom w:val="single" w:sz="4" w:space="0" w:color="auto"/>
              <w:right w:val="nil"/>
            </w:tcBorders>
            <w:shd w:val="clear" w:color="auto" w:fill="auto"/>
            <w:vAlign w:val="bottom"/>
          </w:tcPr>
          <w:p w14:paraId="320D503C" w14:textId="77777777" w:rsidR="00A87DE1" w:rsidRPr="00652060" w:rsidRDefault="00A87DE1" w:rsidP="00FE6461">
            <w:pPr>
              <w:pStyle w:val="BodyText"/>
              <w:jc w:val="center"/>
              <w:rPr>
                <w:b/>
              </w:rPr>
            </w:pPr>
            <w:r w:rsidRPr="00652060">
              <w:rPr>
                <w:b/>
              </w:rPr>
              <w:t xml:space="preserve">Single </w:t>
            </w:r>
            <w:r>
              <w:rPr>
                <w:b/>
              </w:rPr>
              <w:t>p</w:t>
            </w:r>
            <w:r w:rsidRPr="00652060">
              <w:rPr>
                <w:b/>
              </w:rPr>
              <w:t>rice</w:t>
            </w:r>
          </w:p>
        </w:tc>
        <w:tc>
          <w:tcPr>
            <w:tcW w:w="1542" w:type="dxa"/>
            <w:tcBorders>
              <w:top w:val="nil"/>
              <w:left w:val="nil"/>
              <w:bottom w:val="nil"/>
              <w:right w:val="nil"/>
            </w:tcBorders>
            <w:shd w:val="clear" w:color="auto" w:fill="auto"/>
            <w:vAlign w:val="bottom"/>
          </w:tcPr>
          <w:p w14:paraId="43CBD547" w14:textId="77777777" w:rsidR="00A87DE1" w:rsidRPr="00652060" w:rsidRDefault="00A87DE1" w:rsidP="00FE6461">
            <w:pPr>
              <w:pStyle w:val="BodyText"/>
              <w:tabs>
                <w:tab w:val="left" w:pos="2886"/>
              </w:tabs>
              <w:jc w:val="center"/>
              <w:rPr>
                <w:b/>
              </w:rPr>
            </w:pPr>
          </w:p>
        </w:tc>
        <w:tc>
          <w:tcPr>
            <w:tcW w:w="1130" w:type="dxa"/>
            <w:tcBorders>
              <w:top w:val="nil"/>
              <w:left w:val="nil"/>
              <w:bottom w:val="single" w:sz="4" w:space="0" w:color="auto"/>
              <w:right w:val="nil"/>
            </w:tcBorders>
            <w:shd w:val="clear" w:color="auto" w:fill="auto"/>
            <w:vAlign w:val="bottom"/>
          </w:tcPr>
          <w:p w14:paraId="7DC1E991" w14:textId="77777777" w:rsidR="00A87DE1" w:rsidRPr="00652060" w:rsidRDefault="00A87DE1" w:rsidP="00FE6461">
            <w:pPr>
              <w:pStyle w:val="BodyText"/>
              <w:tabs>
                <w:tab w:val="left" w:pos="2886"/>
              </w:tabs>
              <w:jc w:val="center"/>
              <w:rPr>
                <w:b/>
              </w:rPr>
            </w:pPr>
            <w:r w:rsidRPr="00652060">
              <w:rPr>
                <w:b/>
              </w:rPr>
              <w:t>Lower price</w:t>
            </w:r>
          </w:p>
        </w:tc>
        <w:tc>
          <w:tcPr>
            <w:tcW w:w="421" w:type="dxa"/>
            <w:tcBorders>
              <w:top w:val="nil"/>
              <w:left w:val="nil"/>
              <w:bottom w:val="nil"/>
              <w:right w:val="nil"/>
            </w:tcBorders>
            <w:shd w:val="clear" w:color="auto" w:fill="auto"/>
            <w:vAlign w:val="bottom"/>
          </w:tcPr>
          <w:p w14:paraId="132A6BA5" w14:textId="77777777" w:rsidR="00A87DE1" w:rsidRPr="00652060" w:rsidRDefault="00A87DE1" w:rsidP="00FE6461">
            <w:pPr>
              <w:pStyle w:val="BodyText"/>
              <w:tabs>
                <w:tab w:val="left" w:pos="2886"/>
              </w:tabs>
              <w:jc w:val="center"/>
              <w:rPr>
                <w:b/>
              </w:rPr>
            </w:pPr>
          </w:p>
        </w:tc>
        <w:tc>
          <w:tcPr>
            <w:tcW w:w="1183" w:type="dxa"/>
            <w:tcBorders>
              <w:top w:val="nil"/>
              <w:left w:val="nil"/>
              <w:bottom w:val="single" w:sz="4" w:space="0" w:color="auto"/>
              <w:right w:val="nil"/>
            </w:tcBorders>
            <w:shd w:val="clear" w:color="auto" w:fill="auto"/>
            <w:vAlign w:val="bottom"/>
          </w:tcPr>
          <w:p w14:paraId="5D70581B" w14:textId="77777777" w:rsidR="00A87DE1" w:rsidRPr="00652060" w:rsidRDefault="00A87DE1" w:rsidP="00FE6461">
            <w:pPr>
              <w:pStyle w:val="BodyText"/>
              <w:tabs>
                <w:tab w:val="left" w:pos="2886"/>
              </w:tabs>
              <w:jc w:val="center"/>
              <w:rPr>
                <w:b/>
              </w:rPr>
            </w:pPr>
            <w:r w:rsidRPr="00652060">
              <w:rPr>
                <w:b/>
              </w:rPr>
              <w:t>Higher price</w:t>
            </w:r>
          </w:p>
        </w:tc>
      </w:tr>
      <w:tr w:rsidR="009F39B1" w:rsidRPr="00652060" w14:paraId="2D80F7F7" w14:textId="77777777" w:rsidTr="00FE6461">
        <w:trPr>
          <w:trHeight w:val="454"/>
        </w:trPr>
        <w:tc>
          <w:tcPr>
            <w:tcW w:w="4037" w:type="dxa"/>
            <w:tcBorders>
              <w:top w:val="single" w:sz="4" w:space="0" w:color="auto"/>
            </w:tcBorders>
            <w:shd w:val="clear" w:color="auto" w:fill="auto"/>
            <w:vAlign w:val="center"/>
          </w:tcPr>
          <w:p w14:paraId="4586E1BF" w14:textId="77777777" w:rsidR="00AC1BE4" w:rsidRDefault="009F39B1" w:rsidP="009F39B1">
            <w:pPr>
              <w:pStyle w:val="BodyText"/>
            </w:pPr>
            <w:r>
              <w:t xml:space="preserve">Lot 1302, 1322, 1323, 1326, 1327, 1303 </w:t>
            </w:r>
          </w:p>
          <w:p w14:paraId="692912D4" w14:textId="575A7D54" w:rsidR="009F39B1" w:rsidRDefault="009F39B1" w:rsidP="009F39B1">
            <w:pPr>
              <w:pStyle w:val="BodyText"/>
            </w:pPr>
            <w:r>
              <w:t xml:space="preserve">(235m2 – 247m2) </w:t>
            </w:r>
          </w:p>
        </w:tc>
        <w:tc>
          <w:tcPr>
            <w:tcW w:w="1268" w:type="dxa"/>
            <w:tcBorders>
              <w:top w:val="single" w:sz="4" w:space="0" w:color="auto"/>
              <w:right w:val="single" w:sz="4" w:space="0" w:color="auto"/>
            </w:tcBorders>
            <w:shd w:val="clear" w:color="auto" w:fill="auto"/>
            <w:vAlign w:val="center"/>
          </w:tcPr>
          <w:p w14:paraId="67C43152" w14:textId="4F6811DB" w:rsidR="009F39B1" w:rsidRDefault="009F39B1" w:rsidP="009F39B1">
            <w:pPr>
              <w:pStyle w:val="BodyText"/>
            </w:pPr>
          </w:p>
        </w:tc>
        <w:tc>
          <w:tcPr>
            <w:tcW w:w="1542" w:type="dxa"/>
            <w:tcBorders>
              <w:top w:val="nil"/>
              <w:left w:val="single" w:sz="4" w:space="0" w:color="auto"/>
              <w:bottom w:val="nil"/>
              <w:right w:val="single" w:sz="4" w:space="0" w:color="auto"/>
            </w:tcBorders>
            <w:shd w:val="clear" w:color="auto" w:fill="auto"/>
            <w:vAlign w:val="center"/>
          </w:tcPr>
          <w:p w14:paraId="6CA4FC9D" w14:textId="237EB0C9" w:rsidR="009F39B1" w:rsidRDefault="009F39B1" w:rsidP="009F39B1">
            <w:pPr>
              <w:pStyle w:val="BodyText"/>
              <w:jc w:val="center"/>
            </w:pPr>
            <w:r>
              <w:t>Or range between</w:t>
            </w:r>
          </w:p>
        </w:tc>
        <w:tc>
          <w:tcPr>
            <w:tcW w:w="1130" w:type="dxa"/>
            <w:tcBorders>
              <w:top w:val="single" w:sz="4" w:space="0" w:color="auto"/>
              <w:left w:val="single" w:sz="4" w:space="0" w:color="auto"/>
              <w:right w:val="single" w:sz="4" w:space="0" w:color="auto"/>
            </w:tcBorders>
            <w:shd w:val="clear" w:color="auto" w:fill="auto"/>
            <w:vAlign w:val="center"/>
          </w:tcPr>
          <w:p w14:paraId="107C0D79" w14:textId="0F13A7D7" w:rsidR="009F39B1" w:rsidRDefault="009F39B1" w:rsidP="009F39B1">
            <w:pPr>
              <w:pStyle w:val="BodyText"/>
            </w:pPr>
            <w:r>
              <w:t>$199,000</w:t>
            </w:r>
          </w:p>
        </w:tc>
        <w:tc>
          <w:tcPr>
            <w:tcW w:w="421" w:type="dxa"/>
            <w:tcBorders>
              <w:top w:val="nil"/>
              <w:left w:val="single" w:sz="4" w:space="0" w:color="auto"/>
              <w:bottom w:val="nil"/>
              <w:right w:val="single" w:sz="4" w:space="0" w:color="auto"/>
            </w:tcBorders>
            <w:shd w:val="clear" w:color="auto" w:fill="auto"/>
            <w:vAlign w:val="center"/>
          </w:tcPr>
          <w:p w14:paraId="021D86F2" w14:textId="19BBC506" w:rsidR="009F39B1" w:rsidRDefault="009F39B1" w:rsidP="009F39B1">
            <w:pPr>
              <w:pStyle w:val="BodyText"/>
              <w:jc w:val="center"/>
            </w:pPr>
            <w:r>
              <w:t>&amp;</w:t>
            </w:r>
          </w:p>
        </w:tc>
        <w:tc>
          <w:tcPr>
            <w:tcW w:w="1183" w:type="dxa"/>
            <w:tcBorders>
              <w:top w:val="single" w:sz="4" w:space="0" w:color="auto"/>
              <w:left w:val="single" w:sz="4" w:space="0" w:color="auto"/>
            </w:tcBorders>
            <w:shd w:val="clear" w:color="auto" w:fill="auto"/>
            <w:vAlign w:val="center"/>
          </w:tcPr>
          <w:p w14:paraId="41CE96EE" w14:textId="46183323" w:rsidR="009F39B1" w:rsidRDefault="009F39B1" w:rsidP="009F39B1">
            <w:pPr>
              <w:pStyle w:val="BodyText"/>
            </w:pPr>
            <w:r>
              <w:t>$208,000</w:t>
            </w:r>
          </w:p>
        </w:tc>
      </w:tr>
      <w:tr w:rsidR="005D7C47" w:rsidRPr="00652060" w14:paraId="656DB3FF" w14:textId="77777777" w:rsidTr="00FE6461">
        <w:trPr>
          <w:trHeight w:val="454"/>
        </w:trPr>
        <w:tc>
          <w:tcPr>
            <w:tcW w:w="4037" w:type="dxa"/>
            <w:tcBorders>
              <w:top w:val="single" w:sz="4" w:space="0" w:color="auto"/>
            </w:tcBorders>
            <w:shd w:val="clear" w:color="auto" w:fill="auto"/>
            <w:vAlign w:val="center"/>
          </w:tcPr>
          <w:p w14:paraId="5D536931" w14:textId="3673F84F" w:rsidR="005D7C47" w:rsidRDefault="007A6B9D" w:rsidP="007A6B9D">
            <w:pPr>
              <w:pStyle w:val="BodyText"/>
            </w:pPr>
            <w:r>
              <w:t>Lot 1311, 1312 (272m2)</w:t>
            </w:r>
          </w:p>
        </w:tc>
        <w:tc>
          <w:tcPr>
            <w:tcW w:w="1268" w:type="dxa"/>
            <w:tcBorders>
              <w:top w:val="single" w:sz="4" w:space="0" w:color="auto"/>
              <w:right w:val="single" w:sz="4" w:space="0" w:color="auto"/>
            </w:tcBorders>
            <w:shd w:val="clear" w:color="auto" w:fill="auto"/>
            <w:vAlign w:val="center"/>
          </w:tcPr>
          <w:p w14:paraId="63F77356" w14:textId="67943EEA" w:rsidR="005D7C47" w:rsidRDefault="007A6B9D" w:rsidP="005D7C47">
            <w:pPr>
              <w:pStyle w:val="BodyText"/>
            </w:pPr>
            <w:r>
              <w:t>$237,000</w:t>
            </w:r>
          </w:p>
        </w:tc>
        <w:tc>
          <w:tcPr>
            <w:tcW w:w="1542" w:type="dxa"/>
            <w:tcBorders>
              <w:top w:val="nil"/>
              <w:left w:val="single" w:sz="4" w:space="0" w:color="auto"/>
              <w:bottom w:val="nil"/>
              <w:right w:val="single" w:sz="4" w:space="0" w:color="auto"/>
            </w:tcBorders>
            <w:shd w:val="clear" w:color="auto" w:fill="auto"/>
            <w:vAlign w:val="center"/>
          </w:tcPr>
          <w:p w14:paraId="271091B8" w14:textId="77777777" w:rsidR="005D7C47" w:rsidRDefault="005D7C47" w:rsidP="005D7C47">
            <w:pPr>
              <w:pStyle w:val="BodyText"/>
              <w:jc w:val="center"/>
            </w:pPr>
          </w:p>
        </w:tc>
        <w:tc>
          <w:tcPr>
            <w:tcW w:w="1130" w:type="dxa"/>
            <w:tcBorders>
              <w:top w:val="single" w:sz="4" w:space="0" w:color="auto"/>
              <w:left w:val="single" w:sz="4" w:space="0" w:color="auto"/>
              <w:right w:val="single" w:sz="4" w:space="0" w:color="auto"/>
            </w:tcBorders>
            <w:shd w:val="clear" w:color="auto" w:fill="auto"/>
            <w:vAlign w:val="center"/>
          </w:tcPr>
          <w:p w14:paraId="41B313C3" w14:textId="77777777" w:rsidR="005D7C47" w:rsidRDefault="005D7C47" w:rsidP="005D7C47">
            <w:pPr>
              <w:pStyle w:val="BodyText"/>
            </w:pPr>
          </w:p>
        </w:tc>
        <w:tc>
          <w:tcPr>
            <w:tcW w:w="421" w:type="dxa"/>
            <w:tcBorders>
              <w:top w:val="nil"/>
              <w:left w:val="single" w:sz="4" w:space="0" w:color="auto"/>
              <w:bottom w:val="nil"/>
              <w:right w:val="single" w:sz="4" w:space="0" w:color="auto"/>
            </w:tcBorders>
            <w:shd w:val="clear" w:color="auto" w:fill="auto"/>
            <w:vAlign w:val="center"/>
          </w:tcPr>
          <w:p w14:paraId="0E0A0A77" w14:textId="77777777" w:rsidR="005D7C47" w:rsidRDefault="005D7C47" w:rsidP="005D7C47">
            <w:pPr>
              <w:pStyle w:val="BodyText"/>
              <w:jc w:val="center"/>
            </w:pPr>
          </w:p>
        </w:tc>
        <w:tc>
          <w:tcPr>
            <w:tcW w:w="1183" w:type="dxa"/>
            <w:tcBorders>
              <w:top w:val="single" w:sz="4" w:space="0" w:color="auto"/>
              <w:left w:val="single" w:sz="4" w:space="0" w:color="auto"/>
            </w:tcBorders>
            <w:shd w:val="clear" w:color="auto" w:fill="auto"/>
            <w:vAlign w:val="center"/>
          </w:tcPr>
          <w:p w14:paraId="32403CEA" w14:textId="77777777" w:rsidR="005D7C47" w:rsidRDefault="005D7C47" w:rsidP="005D7C47">
            <w:pPr>
              <w:pStyle w:val="BodyText"/>
            </w:pPr>
          </w:p>
        </w:tc>
      </w:tr>
      <w:tr w:rsidR="002B56C1" w:rsidRPr="00652060" w14:paraId="042A58C2" w14:textId="77777777" w:rsidTr="00FE6461">
        <w:trPr>
          <w:trHeight w:val="454"/>
        </w:trPr>
        <w:tc>
          <w:tcPr>
            <w:tcW w:w="4037" w:type="dxa"/>
            <w:shd w:val="clear" w:color="auto" w:fill="auto"/>
            <w:vAlign w:val="center"/>
          </w:tcPr>
          <w:p w14:paraId="47B57E7F" w14:textId="3E714962" w:rsidR="002B56C1" w:rsidRDefault="007A6B9D" w:rsidP="002B56C1">
            <w:pPr>
              <w:pStyle w:val="BodyText"/>
            </w:pPr>
            <w:r>
              <w:t>Lot 1301 (306m2)</w:t>
            </w:r>
          </w:p>
        </w:tc>
        <w:tc>
          <w:tcPr>
            <w:tcW w:w="1268" w:type="dxa"/>
            <w:tcBorders>
              <w:right w:val="single" w:sz="4" w:space="0" w:color="auto"/>
            </w:tcBorders>
            <w:shd w:val="clear" w:color="auto" w:fill="auto"/>
            <w:vAlign w:val="center"/>
          </w:tcPr>
          <w:p w14:paraId="18C297B8" w14:textId="742137A8" w:rsidR="002B56C1" w:rsidRDefault="007A6B9D" w:rsidP="002B56C1">
            <w:pPr>
              <w:pStyle w:val="BodyText"/>
            </w:pPr>
            <w:r>
              <w:t>$246,000</w:t>
            </w:r>
          </w:p>
        </w:tc>
        <w:tc>
          <w:tcPr>
            <w:tcW w:w="1542" w:type="dxa"/>
            <w:tcBorders>
              <w:top w:val="nil"/>
              <w:left w:val="single" w:sz="4" w:space="0" w:color="auto"/>
              <w:bottom w:val="nil"/>
              <w:right w:val="single" w:sz="4" w:space="0" w:color="auto"/>
            </w:tcBorders>
            <w:shd w:val="clear" w:color="auto" w:fill="auto"/>
            <w:vAlign w:val="center"/>
          </w:tcPr>
          <w:p w14:paraId="7C432F8D" w14:textId="77777777" w:rsidR="002B56C1" w:rsidRDefault="002B56C1" w:rsidP="002B56C1">
            <w:pPr>
              <w:pStyle w:val="BodyText"/>
              <w:jc w:val="center"/>
            </w:pPr>
            <w:r>
              <w:t>Or range between</w:t>
            </w:r>
          </w:p>
        </w:tc>
        <w:tc>
          <w:tcPr>
            <w:tcW w:w="1130" w:type="dxa"/>
            <w:tcBorders>
              <w:left w:val="single" w:sz="4" w:space="0" w:color="auto"/>
              <w:right w:val="single" w:sz="4" w:space="0" w:color="auto"/>
            </w:tcBorders>
            <w:shd w:val="clear" w:color="auto" w:fill="auto"/>
            <w:vAlign w:val="center"/>
          </w:tcPr>
          <w:p w14:paraId="38843FE4" w14:textId="5CEDBE05" w:rsidR="002B56C1" w:rsidRDefault="002B56C1" w:rsidP="002B56C1">
            <w:pPr>
              <w:pStyle w:val="BodyText"/>
            </w:pPr>
          </w:p>
        </w:tc>
        <w:tc>
          <w:tcPr>
            <w:tcW w:w="421" w:type="dxa"/>
            <w:tcBorders>
              <w:top w:val="nil"/>
              <w:left w:val="single" w:sz="4" w:space="0" w:color="auto"/>
              <w:bottom w:val="nil"/>
              <w:right w:val="single" w:sz="4" w:space="0" w:color="auto"/>
            </w:tcBorders>
            <w:shd w:val="clear" w:color="auto" w:fill="auto"/>
            <w:vAlign w:val="center"/>
          </w:tcPr>
          <w:p w14:paraId="4493D77C" w14:textId="3D61EC7D" w:rsidR="002B56C1" w:rsidRDefault="002B56C1" w:rsidP="002B56C1">
            <w:pPr>
              <w:pStyle w:val="BodyText"/>
              <w:jc w:val="center"/>
            </w:pPr>
            <w:r>
              <w:t>&amp;</w:t>
            </w:r>
          </w:p>
        </w:tc>
        <w:tc>
          <w:tcPr>
            <w:tcW w:w="1183" w:type="dxa"/>
            <w:tcBorders>
              <w:left w:val="single" w:sz="4" w:space="0" w:color="auto"/>
            </w:tcBorders>
            <w:shd w:val="clear" w:color="auto" w:fill="auto"/>
            <w:vAlign w:val="center"/>
          </w:tcPr>
          <w:p w14:paraId="76BE78B9" w14:textId="6F25BF75" w:rsidR="002B56C1" w:rsidRDefault="002B56C1" w:rsidP="002B56C1">
            <w:pPr>
              <w:pStyle w:val="BodyText"/>
            </w:pPr>
          </w:p>
        </w:tc>
      </w:tr>
      <w:tr w:rsidR="002B56C1" w:rsidRPr="00652060" w14:paraId="0EC33999" w14:textId="77777777" w:rsidTr="00FE6461">
        <w:trPr>
          <w:trHeight w:val="454"/>
        </w:trPr>
        <w:tc>
          <w:tcPr>
            <w:tcW w:w="4037" w:type="dxa"/>
            <w:shd w:val="clear" w:color="auto" w:fill="auto"/>
            <w:vAlign w:val="center"/>
          </w:tcPr>
          <w:p w14:paraId="18BA52BA" w14:textId="5672B5EA" w:rsidR="002B56C1" w:rsidRPr="002B56C1" w:rsidRDefault="007A6B9D" w:rsidP="007A6B9D">
            <w:pPr>
              <w:pStyle w:val="BodyText"/>
            </w:pPr>
            <w:r>
              <w:t>Lot 1310, 1321, 1324, 1325 (345m2 – 359m2)</w:t>
            </w:r>
          </w:p>
        </w:tc>
        <w:tc>
          <w:tcPr>
            <w:tcW w:w="1268" w:type="dxa"/>
            <w:tcBorders>
              <w:right w:val="single" w:sz="4" w:space="0" w:color="auto"/>
            </w:tcBorders>
            <w:shd w:val="clear" w:color="auto" w:fill="auto"/>
            <w:vAlign w:val="center"/>
          </w:tcPr>
          <w:p w14:paraId="3F047147" w14:textId="7F0F7692" w:rsidR="002B56C1" w:rsidRPr="002B56C1" w:rsidRDefault="002B56C1" w:rsidP="002B56C1">
            <w:pPr>
              <w:pStyle w:val="BodyText"/>
            </w:pPr>
          </w:p>
        </w:tc>
        <w:tc>
          <w:tcPr>
            <w:tcW w:w="1542" w:type="dxa"/>
            <w:tcBorders>
              <w:top w:val="nil"/>
              <w:left w:val="single" w:sz="4" w:space="0" w:color="auto"/>
              <w:bottom w:val="nil"/>
              <w:right w:val="single" w:sz="4" w:space="0" w:color="auto"/>
            </w:tcBorders>
            <w:shd w:val="clear" w:color="auto" w:fill="auto"/>
            <w:vAlign w:val="center"/>
          </w:tcPr>
          <w:p w14:paraId="287A841D" w14:textId="2B2FE8C9" w:rsidR="002B56C1" w:rsidRPr="002B56C1" w:rsidRDefault="002B56C1" w:rsidP="002B56C1">
            <w:pPr>
              <w:pStyle w:val="BodyText"/>
              <w:jc w:val="center"/>
            </w:pPr>
            <w:r w:rsidRPr="002B56C1">
              <w:t>Or range between</w:t>
            </w:r>
          </w:p>
        </w:tc>
        <w:tc>
          <w:tcPr>
            <w:tcW w:w="1130" w:type="dxa"/>
            <w:tcBorders>
              <w:left w:val="single" w:sz="4" w:space="0" w:color="auto"/>
              <w:right w:val="single" w:sz="4" w:space="0" w:color="auto"/>
            </w:tcBorders>
            <w:shd w:val="clear" w:color="auto" w:fill="auto"/>
            <w:vAlign w:val="center"/>
          </w:tcPr>
          <w:p w14:paraId="7F2B25C5" w14:textId="55C1844D" w:rsidR="002B56C1" w:rsidRPr="002B56C1" w:rsidRDefault="007A6B9D" w:rsidP="002B56C1">
            <w:pPr>
              <w:pStyle w:val="BodyText"/>
            </w:pPr>
            <w:r>
              <w:t>$281,000</w:t>
            </w:r>
          </w:p>
        </w:tc>
        <w:tc>
          <w:tcPr>
            <w:tcW w:w="421" w:type="dxa"/>
            <w:tcBorders>
              <w:top w:val="nil"/>
              <w:left w:val="single" w:sz="4" w:space="0" w:color="auto"/>
              <w:bottom w:val="nil"/>
              <w:right w:val="single" w:sz="4" w:space="0" w:color="auto"/>
            </w:tcBorders>
            <w:shd w:val="clear" w:color="auto" w:fill="auto"/>
            <w:vAlign w:val="center"/>
          </w:tcPr>
          <w:p w14:paraId="35550395" w14:textId="4590A1D4" w:rsidR="002B56C1" w:rsidRPr="002B56C1" w:rsidRDefault="002B56C1" w:rsidP="002B56C1">
            <w:pPr>
              <w:pStyle w:val="BodyText"/>
              <w:jc w:val="center"/>
              <w:rPr>
                <w:highlight w:val="yellow"/>
              </w:rPr>
            </w:pPr>
            <w:r>
              <w:t>&amp;</w:t>
            </w:r>
          </w:p>
        </w:tc>
        <w:tc>
          <w:tcPr>
            <w:tcW w:w="1183" w:type="dxa"/>
            <w:tcBorders>
              <w:left w:val="single" w:sz="4" w:space="0" w:color="auto"/>
            </w:tcBorders>
            <w:shd w:val="clear" w:color="auto" w:fill="auto"/>
            <w:vAlign w:val="center"/>
          </w:tcPr>
          <w:p w14:paraId="19773F47" w14:textId="5E0E314C" w:rsidR="002B56C1" w:rsidRPr="002B56C1" w:rsidRDefault="007A6B9D" w:rsidP="002B56C1">
            <w:pPr>
              <w:pStyle w:val="BodyText"/>
              <w:rPr>
                <w:highlight w:val="yellow"/>
              </w:rPr>
            </w:pPr>
            <w:r w:rsidRPr="007A6B9D">
              <w:t>$304,000</w:t>
            </w:r>
          </w:p>
        </w:tc>
      </w:tr>
      <w:tr w:rsidR="00A87DE1" w:rsidRPr="00652060" w14:paraId="4780D86D" w14:textId="77777777" w:rsidTr="00FE6461">
        <w:trPr>
          <w:trHeight w:val="454"/>
        </w:trPr>
        <w:tc>
          <w:tcPr>
            <w:tcW w:w="4037" w:type="dxa"/>
            <w:shd w:val="clear" w:color="auto" w:fill="auto"/>
            <w:vAlign w:val="center"/>
          </w:tcPr>
          <w:p w14:paraId="42F7751B" w14:textId="76028281" w:rsidR="00A87DE1" w:rsidRPr="00AD6C08" w:rsidRDefault="007A6B9D" w:rsidP="007A6B9D">
            <w:pPr>
              <w:pStyle w:val="BodyText"/>
            </w:pPr>
            <w:r>
              <w:t>Lot 1320 (384m2)</w:t>
            </w:r>
          </w:p>
        </w:tc>
        <w:tc>
          <w:tcPr>
            <w:tcW w:w="1268" w:type="dxa"/>
            <w:tcBorders>
              <w:right w:val="single" w:sz="4" w:space="0" w:color="auto"/>
            </w:tcBorders>
            <w:shd w:val="clear" w:color="auto" w:fill="auto"/>
            <w:vAlign w:val="center"/>
          </w:tcPr>
          <w:p w14:paraId="2A545C89" w14:textId="0227D82F" w:rsidR="006801C6" w:rsidRPr="00AD6C08" w:rsidRDefault="007A6B9D" w:rsidP="007A6B9D">
            <w:pPr>
              <w:pStyle w:val="BodyText"/>
            </w:pPr>
            <w:r>
              <w:t>$280,000</w:t>
            </w:r>
          </w:p>
        </w:tc>
        <w:tc>
          <w:tcPr>
            <w:tcW w:w="1542" w:type="dxa"/>
            <w:tcBorders>
              <w:top w:val="nil"/>
              <w:left w:val="single" w:sz="4" w:space="0" w:color="auto"/>
              <w:bottom w:val="nil"/>
              <w:right w:val="single" w:sz="4" w:space="0" w:color="auto"/>
            </w:tcBorders>
            <w:shd w:val="clear" w:color="auto" w:fill="auto"/>
            <w:vAlign w:val="center"/>
          </w:tcPr>
          <w:p w14:paraId="016EB171" w14:textId="20121EF1" w:rsidR="00A87DE1" w:rsidRDefault="00A87DE1" w:rsidP="00A87DE1">
            <w:pPr>
              <w:pStyle w:val="BodyText"/>
              <w:jc w:val="center"/>
            </w:pPr>
            <w:r>
              <w:t>Or range between</w:t>
            </w:r>
          </w:p>
        </w:tc>
        <w:tc>
          <w:tcPr>
            <w:tcW w:w="1130" w:type="dxa"/>
            <w:tcBorders>
              <w:left w:val="single" w:sz="4" w:space="0" w:color="auto"/>
              <w:right w:val="single" w:sz="4" w:space="0" w:color="auto"/>
            </w:tcBorders>
            <w:shd w:val="clear" w:color="auto" w:fill="auto"/>
            <w:vAlign w:val="center"/>
          </w:tcPr>
          <w:p w14:paraId="0E99DBF9" w14:textId="36404DB7" w:rsidR="00A87DE1" w:rsidRDefault="00A87DE1" w:rsidP="00A87DE1">
            <w:pPr>
              <w:pStyle w:val="BodyText"/>
            </w:pPr>
          </w:p>
        </w:tc>
        <w:tc>
          <w:tcPr>
            <w:tcW w:w="421" w:type="dxa"/>
            <w:tcBorders>
              <w:top w:val="nil"/>
              <w:left w:val="single" w:sz="4" w:space="0" w:color="auto"/>
              <w:bottom w:val="nil"/>
              <w:right w:val="single" w:sz="4" w:space="0" w:color="auto"/>
            </w:tcBorders>
            <w:shd w:val="clear" w:color="auto" w:fill="auto"/>
            <w:vAlign w:val="center"/>
          </w:tcPr>
          <w:p w14:paraId="3F98A178" w14:textId="2C5A4BC4" w:rsidR="00A87DE1" w:rsidRDefault="00A87DE1" w:rsidP="00A87DE1">
            <w:pPr>
              <w:pStyle w:val="BodyText"/>
              <w:jc w:val="center"/>
            </w:pPr>
            <w:r>
              <w:t>&amp;</w:t>
            </w:r>
          </w:p>
        </w:tc>
        <w:tc>
          <w:tcPr>
            <w:tcW w:w="1183" w:type="dxa"/>
            <w:tcBorders>
              <w:left w:val="single" w:sz="4" w:space="0" w:color="auto"/>
            </w:tcBorders>
            <w:shd w:val="clear" w:color="auto" w:fill="auto"/>
            <w:vAlign w:val="center"/>
          </w:tcPr>
          <w:p w14:paraId="5D775EE8" w14:textId="204EF980" w:rsidR="00A87DE1" w:rsidRDefault="00A87DE1" w:rsidP="00A87DE1">
            <w:pPr>
              <w:pStyle w:val="BodyText"/>
            </w:pPr>
          </w:p>
        </w:tc>
      </w:tr>
      <w:tr w:rsidR="00016C1C" w:rsidRPr="00652060" w14:paraId="6B0D5210" w14:textId="77777777" w:rsidTr="00FE6461">
        <w:trPr>
          <w:trHeight w:val="454"/>
        </w:trPr>
        <w:tc>
          <w:tcPr>
            <w:tcW w:w="4037" w:type="dxa"/>
            <w:shd w:val="clear" w:color="auto" w:fill="auto"/>
            <w:vAlign w:val="center"/>
          </w:tcPr>
          <w:p w14:paraId="358667DA" w14:textId="6392067E" w:rsidR="00016C1C" w:rsidRDefault="00016C1C" w:rsidP="007A6B9D">
            <w:pPr>
              <w:pStyle w:val="BodyText"/>
            </w:pPr>
            <w:r>
              <w:t>Lot 1041 (328m2)</w:t>
            </w:r>
          </w:p>
        </w:tc>
        <w:tc>
          <w:tcPr>
            <w:tcW w:w="1268" w:type="dxa"/>
            <w:tcBorders>
              <w:right w:val="single" w:sz="4" w:space="0" w:color="auto"/>
            </w:tcBorders>
            <w:shd w:val="clear" w:color="auto" w:fill="auto"/>
            <w:vAlign w:val="center"/>
          </w:tcPr>
          <w:p w14:paraId="004AE04E" w14:textId="23D931EB" w:rsidR="00016C1C" w:rsidRDefault="00016C1C" w:rsidP="007A6B9D">
            <w:pPr>
              <w:pStyle w:val="BodyText"/>
            </w:pPr>
            <w:r>
              <w:t>$276,000</w:t>
            </w:r>
          </w:p>
        </w:tc>
        <w:tc>
          <w:tcPr>
            <w:tcW w:w="1542" w:type="dxa"/>
            <w:tcBorders>
              <w:top w:val="nil"/>
              <w:left w:val="single" w:sz="4" w:space="0" w:color="auto"/>
              <w:bottom w:val="nil"/>
              <w:right w:val="single" w:sz="4" w:space="0" w:color="auto"/>
            </w:tcBorders>
            <w:shd w:val="clear" w:color="auto" w:fill="auto"/>
            <w:vAlign w:val="center"/>
          </w:tcPr>
          <w:p w14:paraId="538BB619" w14:textId="77777777" w:rsidR="00016C1C" w:rsidRDefault="00016C1C" w:rsidP="00A87DE1">
            <w:pPr>
              <w:pStyle w:val="BodyText"/>
              <w:jc w:val="center"/>
            </w:pPr>
          </w:p>
        </w:tc>
        <w:tc>
          <w:tcPr>
            <w:tcW w:w="1130" w:type="dxa"/>
            <w:tcBorders>
              <w:left w:val="single" w:sz="4" w:space="0" w:color="auto"/>
              <w:right w:val="single" w:sz="4" w:space="0" w:color="auto"/>
            </w:tcBorders>
            <w:shd w:val="clear" w:color="auto" w:fill="auto"/>
            <w:vAlign w:val="center"/>
          </w:tcPr>
          <w:p w14:paraId="31D5CBE7" w14:textId="77777777" w:rsidR="00016C1C" w:rsidRDefault="00016C1C" w:rsidP="00A87DE1">
            <w:pPr>
              <w:pStyle w:val="BodyText"/>
            </w:pPr>
          </w:p>
        </w:tc>
        <w:tc>
          <w:tcPr>
            <w:tcW w:w="421" w:type="dxa"/>
            <w:tcBorders>
              <w:top w:val="nil"/>
              <w:left w:val="single" w:sz="4" w:space="0" w:color="auto"/>
              <w:bottom w:val="nil"/>
              <w:right w:val="single" w:sz="4" w:space="0" w:color="auto"/>
            </w:tcBorders>
            <w:shd w:val="clear" w:color="auto" w:fill="auto"/>
            <w:vAlign w:val="center"/>
          </w:tcPr>
          <w:p w14:paraId="71FC3794" w14:textId="77777777" w:rsidR="00016C1C" w:rsidRDefault="00016C1C" w:rsidP="00A87DE1">
            <w:pPr>
              <w:pStyle w:val="BodyText"/>
              <w:jc w:val="center"/>
            </w:pPr>
          </w:p>
        </w:tc>
        <w:tc>
          <w:tcPr>
            <w:tcW w:w="1183" w:type="dxa"/>
            <w:tcBorders>
              <w:left w:val="single" w:sz="4" w:space="0" w:color="auto"/>
            </w:tcBorders>
            <w:shd w:val="clear" w:color="auto" w:fill="auto"/>
            <w:vAlign w:val="center"/>
          </w:tcPr>
          <w:p w14:paraId="73ED20B9" w14:textId="77777777" w:rsidR="00016C1C" w:rsidRDefault="00016C1C" w:rsidP="00A87DE1">
            <w:pPr>
              <w:pStyle w:val="BodyText"/>
            </w:pPr>
          </w:p>
        </w:tc>
      </w:tr>
      <w:tr w:rsidR="00016C1C" w:rsidRPr="00652060" w14:paraId="51F6B1D8" w14:textId="77777777" w:rsidTr="00FE6461">
        <w:trPr>
          <w:trHeight w:val="454"/>
        </w:trPr>
        <w:tc>
          <w:tcPr>
            <w:tcW w:w="4037" w:type="dxa"/>
            <w:shd w:val="clear" w:color="auto" w:fill="auto"/>
            <w:vAlign w:val="center"/>
          </w:tcPr>
          <w:p w14:paraId="4B2DA777" w14:textId="76A5A5E6" w:rsidR="00016C1C" w:rsidRDefault="00016C1C" w:rsidP="007A6B9D">
            <w:pPr>
              <w:pStyle w:val="BodyText"/>
            </w:pPr>
            <w:r>
              <w:t>Lot 1035 (400m2)</w:t>
            </w:r>
          </w:p>
        </w:tc>
        <w:tc>
          <w:tcPr>
            <w:tcW w:w="1268" w:type="dxa"/>
            <w:tcBorders>
              <w:right w:val="single" w:sz="4" w:space="0" w:color="auto"/>
            </w:tcBorders>
            <w:shd w:val="clear" w:color="auto" w:fill="auto"/>
            <w:vAlign w:val="center"/>
          </w:tcPr>
          <w:p w14:paraId="317E6EC0" w14:textId="7C8A6472" w:rsidR="00016C1C" w:rsidRDefault="00016C1C" w:rsidP="007A6B9D">
            <w:pPr>
              <w:pStyle w:val="BodyText"/>
            </w:pPr>
            <w:r>
              <w:t>$330,000</w:t>
            </w:r>
          </w:p>
        </w:tc>
        <w:tc>
          <w:tcPr>
            <w:tcW w:w="1542" w:type="dxa"/>
            <w:tcBorders>
              <w:top w:val="nil"/>
              <w:left w:val="single" w:sz="4" w:space="0" w:color="auto"/>
              <w:bottom w:val="nil"/>
              <w:right w:val="single" w:sz="4" w:space="0" w:color="auto"/>
            </w:tcBorders>
            <w:shd w:val="clear" w:color="auto" w:fill="auto"/>
            <w:vAlign w:val="center"/>
          </w:tcPr>
          <w:p w14:paraId="5A6B9284" w14:textId="77777777" w:rsidR="00016C1C" w:rsidRDefault="00016C1C" w:rsidP="00A87DE1">
            <w:pPr>
              <w:pStyle w:val="BodyText"/>
              <w:jc w:val="center"/>
            </w:pPr>
          </w:p>
        </w:tc>
        <w:tc>
          <w:tcPr>
            <w:tcW w:w="1130" w:type="dxa"/>
            <w:tcBorders>
              <w:left w:val="single" w:sz="4" w:space="0" w:color="auto"/>
              <w:right w:val="single" w:sz="4" w:space="0" w:color="auto"/>
            </w:tcBorders>
            <w:shd w:val="clear" w:color="auto" w:fill="auto"/>
            <w:vAlign w:val="center"/>
          </w:tcPr>
          <w:p w14:paraId="6BE0B8D4" w14:textId="77777777" w:rsidR="00016C1C" w:rsidRDefault="00016C1C" w:rsidP="00A87DE1">
            <w:pPr>
              <w:pStyle w:val="BodyText"/>
            </w:pPr>
          </w:p>
        </w:tc>
        <w:tc>
          <w:tcPr>
            <w:tcW w:w="421" w:type="dxa"/>
            <w:tcBorders>
              <w:top w:val="nil"/>
              <w:left w:val="single" w:sz="4" w:space="0" w:color="auto"/>
              <w:bottom w:val="nil"/>
              <w:right w:val="single" w:sz="4" w:space="0" w:color="auto"/>
            </w:tcBorders>
            <w:shd w:val="clear" w:color="auto" w:fill="auto"/>
            <w:vAlign w:val="center"/>
          </w:tcPr>
          <w:p w14:paraId="271F85EB" w14:textId="77777777" w:rsidR="00016C1C" w:rsidRDefault="00016C1C" w:rsidP="00A87DE1">
            <w:pPr>
              <w:pStyle w:val="BodyText"/>
              <w:jc w:val="center"/>
            </w:pPr>
          </w:p>
        </w:tc>
        <w:tc>
          <w:tcPr>
            <w:tcW w:w="1183" w:type="dxa"/>
            <w:tcBorders>
              <w:left w:val="single" w:sz="4" w:space="0" w:color="auto"/>
            </w:tcBorders>
            <w:shd w:val="clear" w:color="auto" w:fill="auto"/>
            <w:vAlign w:val="center"/>
          </w:tcPr>
          <w:p w14:paraId="7F61473B" w14:textId="77777777" w:rsidR="00016C1C" w:rsidRDefault="00016C1C" w:rsidP="00A87DE1">
            <w:pPr>
              <w:pStyle w:val="BodyText"/>
            </w:pPr>
          </w:p>
        </w:tc>
      </w:tr>
    </w:tbl>
    <w:p w14:paraId="64793491" w14:textId="55C8D057" w:rsidR="00A87DE1" w:rsidRDefault="00A87DE1" w:rsidP="00A87DE1">
      <w:pPr>
        <w:pStyle w:val="BodyText"/>
        <w:spacing w:before="120"/>
        <w:jc w:val="center"/>
      </w:pPr>
      <w:r w:rsidRPr="00504DCB">
        <w:t>Additional entries may be included or attached as required.</w:t>
      </w:r>
    </w:p>
    <w:p w14:paraId="18E2997C" w14:textId="77777777" w:rsidR="00A87DE1" w:rsidRPr="008F55E0" w:rsidRDefault="00A87DE1" w:rsidP="00A87DE1">
      <w:pPr>
        <w:pStyle w:val="Heading2"/>
      </w:pPr>
      <w:r w:rsidRPr="008F55E0">
        <w:t>Suburb unit median sale price</w:t>
      </w:r>
    </w:p>
    <w:tbl>
      <w:tblPr>
        <w:tblW w:w="0" w:type="auto"/>
        <w:tblInd w:w="57" w:type="dxa"/>
        <w:tblCellMar>
          <w:left w:w="57" w:type="dxa"/>
          <w:right w:w="57" w:type="dxa"/>
        </w:tblCellMar>
        <w:tblLook w:val="04A0" w:firstRow="1" w:lastRow="0" w:firstColumn="1" w:lastColumn="0" w:noHBand="0" w:noVBand="1"/>
      </w:tblPr>
      <w:tblGrid>
        <w:gridCol w:w="1959"/>
        <w:gridCol w:w="9"/>
        <w:gridCol w:w="1350"/>
        <w:gridCol w:w="325"/>
        <w:gridCol w:w="1261"/>
        <w:gridCol w:w="22"/>
        <w:gridCol w:w="1242"/>
        <w:gridCol w:w="3408"/>
      </w:tblGrid>
      <w:tr w:rsidR="00884D83" w14:paraId="1501761F" w14:textId="77777777" w:rsidTr="00016C1C">
        <w:trPr>
          <w:trHeight w:val="567"/>
        </w:trPr>
        <w:tc>
          <w:tcPr>
            <w:tcW w:w="1968" w:type="dxa"/>
            <w:gridSpan w:val="2"/>
            <w:tcBorders>
              <w:right w:val="single" w:sz="4" w:space="0" w:color="auto"/>
            </w:tcBorders>
            <w:shd w:val="clear" w:color="auto" w:fill="auto"/>
            <w:vAlign w:val="center"/>
          </w:tcPr>
          <w:p w14:paraId="4826F8B9" w14:textId="77777777" w:rsidR="00A87DE1" w:rsidRDefault="00A87DE1" w:rsidP="00FE6461">
            <w:pPr>
              <w:pStyle w:val="BodyText"/>
              <w:jc w:val="right"/>
            </w:pPr>
            <w:r>
              <w:t>Median price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A20A069" w14:textId="521785FF" w:rsidR="00A87DE1" w:rsidRDefault="00A87DE1" w:rsidP="00FE6461">
            <w:pPr>
              <w:pStyle w:val="BodyText"/>
            </w:pPr>
            <w:r>
              <w:t>$</w:t>
            </w:r>
            <w:r w:rsidR="00884D83">
              <w:t>3</w:t>
            </w:r>
            <w:r w:rsidR="009F39B1">
              <w:t>2</w:t>
            </w:r>
            <w:r w:rsidR="00C46915">
              <w:t>0</w:t>
            </w:r>
            <w:r w:rsidR="00884D83">
              <w:t>,</w:t>
            </w:r>
            <w:r w:rsidR="009F39B1">
              <w:t>00</w:t>
            </w:r>
            <w:r w:rsidR="00884D83">
              <w:t>0</w:t>
            </w:r>
          </w:p>
        </w:tc>
        <w:tc>
          <w:tcPr>
            <w:tcW w:w="1608" w:type="dxa"/>
            <w:gridSpan w:val="3"/>
            <w:tcBorders>
              <w:left w:val="single" w:sz="4" w:space="0" w:color="auto"/>
              <w:right w:val="single" w:sz="4" w:space="0" w:color="auto"/>
            </w:tcBorders>
            <w:shd w:val="clear" w:color="auto" w:fill="auto"/>
            <w:vAlign w:val="center"/>
          </w:tcPr>
          <w:p w14:paraId="70B68F65" w14:textId="77777777" w:rsidR="00A87DE1" w:rsidRDefault="00A87DE1" w:rsidP="00FE6461">
            <w:pPr>
              <w:pStyle w:val="BodyText"/>
              <w:jc w:val="right"/>
            </w:pPr>
            <w:r>
              <w:t>Suburb</w:t>
            </w:r>
          </w:p>
        </w:tc>
        <w:tc>
          <w:tcPr>
            <w:tcW w:w="46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A7F8D3" w14:textId="7E94812B" w:rsidR="00A87DE1" w:rsidRDefault="00A87DE1" w:rsidP="00FE6461">
            <w:pPr>
              <w:pStyle w:val="BodyText"/>
            </w:pPr>
            <w:r>
              <w:t xml:space="preserve"> </w:t>
            </w:r>
            <w:r w:rsidR="003379A4">
              <w:t>Tarneit</w:t>
            </w:r>
          </w:p>
        </w:tc>
      </w:tr>
      <w:tr w:rsidR="00A87DE1" w14:paraId="3C693DBD" w14:textId="77777777" w:rsidTr="00016C1C">
        <w:trPr>
          <w:trHeight w:val="567"/>
        </w:trPr>
        <w:tc>
          <w:tcPr>
            <w:tcW w:w="1959" w:type="dxa"/>
            <w:tcBorders>
              <w:right w:val="single" w:sz="4" w:space="0" w:color="auto"/>
            </w:tcBorders>
            <w:shd w:val="clear" w:color="auto" w:fill="auto"/>
            <w:vAlign w:val="center"/>
          </w:tcPr>
          <w:p w14:paraId="1EEC6C4B" w14:textId="77777777" w:rsidR="00A87DE1" w:rsidRDefault="00A87DE1" w:rsidP="00FE6461">
            <w:pPr>
              <w:pStyle w:val="BodyText"/>
              <w:jc w:val="right"/>
            </w:pPr>
            <w:r>
              <w:t xml:space="preserve">Period - From </w:t>
            </w:r>
          </w:p>
        </w:tc>
        <w:tc>
          <w:tcPr>
            <w:tcW w:w="13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0336C2" w14:textId="4115FEAF" w:rsidR="00A87DE1" w:rsidRDefault="009F39B1" w:rsidP="00FE6461">
            <w:pPr>
              <w:pStyle w:val="BodyText"/>
            </w:pPr>
            <w:r>
              <w:t>Dec</w:t>
            </w:r>
            <w:r w:rsidR="00A87DE1">
              <w:t xml:space="preserve"> 2020</w:t>
            </w:r>
          </w:p>
        </w:tc>
        <w:tc>
          <w:tcPr>
            <w:tcW w:w="325" w:type="dxa"/>
            <w:tcBorders>
              <w:left w:val="single" w:sz="4" w:space="0" w:color="auto"/>
              <w:right w:val="single" w:sz="4" w:space="0" w:color="auto"/>
            </w:tcBorders>
            <w:shd w:val="clear" w:color="auto" w:fill="auto"/>
            <w:vAlign w:val="center"/>
          </w:tcPr>
          <w:p w14:paraId="6958B58C" w14:textId="77777777" w:rsidR="00A87DE1" w:rsidRDefault="00A87DE1" w:rsidP="00FE6461">
            <w:pPr>
              <w:pStyle w:val="BodyText"/>
              <w:jc w:val="right"/>
            </w:pPr>
            <w:r>
              <w:t>To</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0B39AC7B" w14:textId="4FD07665" w:rsidR="00A87DE1" w:rsidRDefault="00C46915" w:rsidP="00FE6461">
            <w:pPr>
              <w:pStyle w:val="BodyText"/>
            </w:pPr>
            <w:r>
              <w:t>Ma</w:t>
            </w:r>
            <w:r w:rsidR="009F39B1">
              <w:t xml:space="preserve">y </w:t>
            </w:r>
            <w:r w:rsidR="00A87DE1">
              <w:t>2021</w:t>
            </w:r>
          </w:p>
        </w:tc>
        <w:tc>
          <w:tcPr>
            <w:tcW w:w="1264" w:type="dxa"/>
            <w:gridSpan w:val="2"/>
            <w:tcBorders>
              <w:left w:val="single" w:sz="4" w:space="0" w:color="auto"/>
              <w:right w:val="single" w:sz="4" w:space="0" w:color="auto"/>
            </w:tcBorders>
            <w:shd w:val="clear" w:color="auto" w:fill="auto"/>
            <w:vAlign w:val="center"/>
          </w:tcPr>
          <w:p w14:paraId="3E9A9E62" w14:textId="77777777" w:rsidR="00A87DE1" w:rsidRDefault="00A87DE1" w:rsidP="00FE6461">
            <w:pPr>
              <w:pStyle w:val="BodyText"/>
              <w:jc w:val="right"/>
            </w:pPr>
            <w:r>
              <w:t xml:space="preserve">Source </w:t>
            </w:r>
          </w:p>
        </w:tc>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14:paraId="4CBAFC2E" w14:textId="77777777" w:rsidR="00A87DE1" w:rsidRDefault="00A87DE1" w:rsidP="00FE6461">
            <w:pPr>
              <w:pStyle w:val="BodyText"/>
            </w:pPr>
            <w:r>
              <w:t>RPM Research Team</w:t>
            </w:r>
          </w:p>
        </w:tc>
      </w:tr>
    </w:tbl>
    <w:p w14:paraId="099C8FF6" w14:textId="77777777" w:rsidR="006801C6" w:rsidRDefault="006801C6" w:rsidP="00A87DE1">
      <w:pPr>
        <w:pStyle w:val="Heading2"/>
      </w:pPr>
    </w:p>
    <w:p w14:paraId="2C724B03" w14:textId="3BDA4D29" w:rsidR="00A87DE1" w:rsidRPr="002E52D2" w:rsidRDefault="00A87DE1" w:rsidP="00A87DE1">
      <w:pPr>
        <w:pStyle w:val="Heading2"/>
      </w:pPr>
      <w:r w:rsidRPr="002E52D2">
        <w:t>Comparable property sales (*Delete A or B below as applicable)</w:t>
      </w:r>
    </w:p>
    <w:p w14:paraId="37B47347" w14:textId="77777777" w:rsidR="00A87DE1" w:rsidRDefault="00A87DE1" w:rsidP="00A87DE1">
      <w:pPr>
        <w:pStyle w:val="BodyText"/>
        <w:tabs>
          <w:tab w:val="left" w:pos="709"/>
        </w:tabs>
        <w:ind w:left="705" w:hanging="705"/>
      </w:pPr>
      <w:r w:rsidRPr="000F5215">
        <w:rPr>
          <w:b/>
          <w:bCs/>
        </w:rPr>
        <w:t>A*</w:t>
      </w:r>
      <w:r>
        <w:tab/>
      </w:r>
      <w:r w:rsidRPr="00EC3F3F">
        <w:t>These are the details of the three units that the estate agent or agent’s representative considers to be most comparable to the unit for sale. These units must be of the same type or class as the unit for sale, been sold within the last six months, and located within two kilometres of the unit for sale.</w:t>
      </w:r>
    </w:p>
    <w:p w14:paraId="20B745AF" w14:textId="77777777" w:rsidR="00A87DE1" w:rsidRDefault="00A87DE1" w:rsidP="00A87DE1">
      <w:pPr>
        <w:pStyle w:val="BodyText"/>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A87DE1" w:rsidRPr="004E4EE7" w14:paraId="40CBBE19" w14:textId="77777777" w:rsidTr="00FE6461">
        <w:trPr>
          <w:trHeight w:val="454"/>
          <w:tblHeader/>
        </w:trPr>
        <w:tc>
          <w:tcPr>
            <w:tcW w:w="2184" w:type="dxa"/>
            <w:tcBorders>
              <w:top w:val="nil"/>
              <w:left w:val="nil"/>
              <w:right w:val="nil"/>
            </w:tcBorders>
            <w:vAlign w:val="bottom"/>
          </w:tcPr>
          <w:p w14:paraId="31F90AB7" w14:textId="5FD03B61" w:rsidR="00A87DE1" w:rsidRDefault="00A87DE1" w:rsidP="00FE6461">
            <w:pPr>
              <w:pStyle w:val="BodyText"/>
              <w:spacing w:after="0"/>
              <w:rPr>
                <w:color w:val="808080"/>
              </w:rPr>
            </w:pPr>
            <w:r>
              <w:rPr>
                <w:b/>
              </w:rPr>
              <w:t>Unit type or class</w:t>
            </w:r>
            <w:r w:rsidRPr="007D017B">
              <w:rPr>
                <w:color w:val="808080"/>
              </w:rPr>
              <w:t xml:space="preserve"> </w:t>
            </w:r>
          </w:p>
          <w:p w14:paraId="3A1CD48A" w14:textId="77777777" w:rsidR="00A87DE1" w:rsidRPr="00DF1BE3" w:rsidRDefault="00A87DE1" w:rsidP="00FE6461">
            <w:pPr>
              <w:pStyle w:val="QuestionHelpText"/>
              <w:rPr>
                <w:b/>
              </w:rPr>
            </w:pPr>
            <w:r w:rsidRPr="007D017B">
              <w:t>E.g. One bedroom units</w:t>
            </w:r>
          </w:p>
        </w:tc>
        <w:tc>
          <w:tcPr>
            <w:tcW w:w="4819" w:type="dxa"/>
            <w:tcBorders>
              <w:top w:val="nil"/>
              <w:left w:val="nil"/>
              <w:right w:val="nil"/>
            </w:tcBorders>
            <w:shd w:val="clear" w:color="auto" w:fill="auto"/>
            <w:vAlign w:val="bottom"/>
          </w:tcPr>
          <w:p w14:paraId="7F128599" w14:textId="02187141" w:rsidR="00A87DE1" w:rsidRPr="00DF1BE3" w:rsidRDefault="00A87DE1" w:rsidP="00FE6461">
            <w:pPr>
              <w:pStyle w:val="BodyText"/>
              <w:rPr>
                <w:b/>
              </w:rPr>
            </w:pPr>
            <w:r w:rsidRPr="00DF1BE3">
              <w:rPr>
                <w:b/>
              </w:rPr>
              <w:t>Address</w:t>
            </w:r>
            <w:r>
              <w:rPr>
                <w:b/>
              </w:rPr>
              <w:t xml:space="preserve"> of comparable unit</w:t>
            </w:r>
            <w:r w:rsidR="00645B69">
              <w:rPr>
                <w:b/>
              </w:rPr>
              <w:t xml:space="preserve"> </w:t>
            </w:r>
          </w:p>
        </w:tc>
        <w:tc>
          <w:tcPr>
            <w:tcW w:w="1247" w:type="dxa"/>
            <w:tcBorders>
              <w:top w:val="nil"/>
              <w:left w:val="nil"/>
              <w:right w:val="nil"/>
            </w:tcBorders>
            <w:shd w:val="clear" w:color="auto" w:fill="auto"/>
            <w:vAlign w:val="bottom"/>
          </w:tcPr>
          <w:p w14:paraId="049C4C20" w14:textId="77777777" w:rsidR="00A87DE1" w:rsidRPr="00DF1BE3" w:rsidRDefault="00A87DE1" w:rsidP="00FE6461">
            <w:pPr>
              <w:pStyle w:val="BodyText"/>
              <w:rPr>
                <w:b/>
              </w:rPr>
            </w:pPr>
            <w:r w:rsidRPr="00DF1BE3">
              <w:rPr>
                <w:b/>
              </w:rPr>
              <w:t>Price</w:t>
            </w:r>
          </w:p>
        </w:tc>
        <w:tc>
          <w:tcPr>
            <w:tcW w:w="1248" w:type="dxa"/>
            <w:tcBorders>
              <w:top w:val="nil"/>
              <w:left w:val="nil"/>
              <w:right w:val="nil"/>
            </w:tcBorders>
            <w:shd w:val="clear" w:color="auto" w:fill="auto"/>
            <w:vAlign w:val="bottom"/>
          </w:tcPr>
          <w:p w14:paraId="7B211FBE" w14:textId="77777777" w:rsidR="00A87DE1" w:rsidRPr="00DF1BE3" w:rsidRDefault="00A87DE1" w:rsidP="00FE6461">
            <w:pPr>
              <w:pStyle w:val="BodyText"/>
              <w:rPr>
                <w:b/>
              </w:rPr>
            </w:pPr>
            <w:r>
              <w:rPr>
                <w:b/>
              </w:rPr>
              <w:t>Dat</w:t>
            </w:r>
            <w:r w:rsidRPr="00DF1BE3">
              <w:rPr>
                <w:b/>
              </w:rPr>
              <w:t xml:space="preserve">e of </w:t>
            </w:r>
            <w:r>
              <w:rPr>
                <w:b/>
              </w:rPr>
              <w:t>s</w:t>
            </w:r>
            <w:r w:rsidRPr="00DF1BE3">
              <w:rPr>
                <w:b/>
              </w:rPr>
              <w:t>ale</w:t>
            </w:r>
          </w:p>
        </w:tc>
      </w:tr>
      <w:tr w:rsidR="00A87DE1" w14:paraId="339F374F" w14:textId="77777777" w:rsidTr="00FE6461">
        <w:trPr>
          <w:trHeight w:val="454"/>
        </w:trPr>
        <w:tc>
          <w:tcPr>
            <w:tcW w:w="2184" w:type="dxa"/>
            <w:vMerge w:val="restart"/>
            <w:vAlign w:val="center"/>
          </w:tcPr>
          <w:p w14:paraId="39609B4E" w14:textId="77777777" w:rsidR="009F39B1" w:rsidRDefault="009F39B1" w:rsidP="00FE6461">
            <w:pPr>
              <w:pStyle w:val="BodyText"/>
            </w:pPr>
            <w:r w:rsidRPr="009F39B1">
              <w:t xml:space="preserve">Lot 1302, 1322, 1323, 1326, 1327, 1303 (235m2 – 247m2) </w:t>
            </w:r>
          </w:p>
          <w:p w14:paraId="6348AB82" w14:textId="1B0F5257" w:rsidR="005D7C47" w:rsidRPr="00DF1BE3" w:rsidRDefault="009F39B1" w:rsidP="00FE6461">
            <w:pPr>
              <w:pStyle w:val="BodyText"/>
            </w:pPr>
            <w:r w:rsidRPr="009F39B1">
              <w:t>$199,000</w:t>
            </w:r>
            <w:r>
              <w:t xml:space="preserve"> - </w:t>
            </w:r>
            <w:r w:rsidRPr="009F39B1">
              <w:t>$208,000</w:t>
            </w:r>
          </w:p>
        </w:tc>
        <w:tc>
          <w:tcPr>
            <w:tcW w:w="4819" w:type="dxa"/>
            <w:shd w:val="clear" w:color="auto" w:fill="auto"/>
            <w:vAlign w:val="center"/>
          </w:tcPr>
          <w:p w14:paraId="75E87FAD" w14:textId="6BCDB23B" w:rsidR="00A87DE1" w:rsidRPr="00E2704B" w:rsidRDefault="009F39B1" w:rsidP="00FE6461">
            <w:pPr>
              <w:pStyle w:val="BodyText"/>
            </w:pPr>
            <w:r>
              <w:t xml:space="preserve">Lot </w:t>
            </w:r>
            <w:r w:rsidRPr="009F39B1">
              <w:t>2108</w:t>
            </w:r>
            <w:r>
              <w:t xml:space="preserve"> (</w:t>
            </w:r>
            <w:r w:rsidRPr="009F39B1">
              <w:t>213</w:t>
            </w:r>
            <w:r>
              <w:t xml:space="preserve">m2) </w:t>
            </w:r>
            <w:r w:rsidRPr="009F39B1">
              <w:t>Creekstone</w:t>
            </w:r>
            <w:r>
              <w:t xml:space="preserve">, </w:t>
            </w:r>
            <w:r w:rsidRPr="009F39B1">
              <w:t>Tarneit</w:t>
            </w:r>
          </w:p>
        </w:tc>
        <w:tc>
          <w:tcPr>
            <w:tcW w:w="1247" w:type="dxa"/>
            <w:shd w:val="clear" w:color="auto" w:fill="auto"/>
            <w:vAlign w:val="center"/>
          </w:tcPr>
          <w:p w14:paraId="73770DCD" w14:textId="3AF89096" w:rsidR="00A87DE1" w:rsidRPr="00DF1BE3" w:rsidRDefault="009F39B1" w:rsidP="00FE6461">
            <w:pPr>
              <w:pStyle w:val="BodyText"/>
            </w:pPr>
            <w:r w:rsidRPr="009F39B1">
              <w:t>$217,500</w:t>
            </w:r>
          </w:p>
        </w:tc>
        <w:tc>
          <w:tcPr>
            <w:tcW w:w="1248" w:type="dxa"/>
            <w:shd w:val="clear" w:color="auto" w:fill="auto"/>
            <w:vAlign w:val="center"/>
          </w:tcPr>
          <w:p w14:paraId="3959585A" w14:textId="5B0A3D0E" w:rsidR="00A87DE1" w:rsidRPr="00DF1BE3" w:rsidRDefault="009F39B1" w:rsidP="00FE6461">
            <w:pPr>
              <w:pStyle w:val="BodyText"/>
            </w:pPr>
            <w:r w:rsidRPr="009F39B1">
              <w:t>May-21</w:t>
            </w:r>
          </w:p>
        </w:tc>
      </w:tr>
      <w:tr w:rsidR="00A87DE1" w14:paraId="1213AAE2" w14:textId="77777777" w:rsidTr="00FE6461">
        <w:trPr>
          <w:trHeight w:val="454"/>
        </w:trPr>
        <w:tc>
          <w:tcPr>
            <w:tcW w:w="2184" w:type="dxa"/>
            <w:vMerge/>
            <w:vAlign w:val="center"/>
          </w:tcPr>
          <w:p w14:paraId="7E199787" w14:textId="77777777" w:rsidR="00A87DE1" w:rsidRPr="00DF1BE3" w:rsidRDefault="00A87DE1" w:rsidP="00FE6461">
            <w:pPr>
              <w:pStyle w:val="BodyText"/>
            </w:pPr>
          </w:p>
        </w:tc>
        <w:tc>
          <w:tcPr>
            <w:tcW w:w="4819" w:type="dxa"/>
            <w:shd w:val="clear" w:color="auto" w:fill="auto"/>
            <w:vAlign w:val="center"/>
          </w:tcPr>
          <w:p w14:paraId="36D72156" w14:textId="5C5EAB6F" w:rsidR="00A87DE1" w:rsidRPr="00E2704B" w:rsidRDefault="009F39B1" w:rsidP="00FE6461">
            <w:pPr>
              <w:pStyle w:val="BodyText"/>
            </w:pPr>
            <w:r>
              <w:t xml:space="preserve">Lot </w:t>
            </w:r>
            <w:r w:rsidRPr="009F39B1">
              <w:t>1235</w:t>
            </w:r>
            <w:r>
              <w:t xml:space="preserve"> (</w:t>
            </w:r>
            <w:r w:rsidRPr="009F39B1">
              <w:t>252</w:t>
            </w:r>
            <w:r>
              <w:t xml:space="preserve">m2) </w:t>
            </w:r>
            <w:r w:rsidRPr="009F39B1">
              <w:t>Verdant Hill</w:t>
            </w:r>
            <w:r>
              <w:t xml:space="preserve">, </w:t>
            </w:r>
            <w:r w:rsidRPr="009F39B1">
              <w:t>Tarneit</w:t>
            </w:r>
          </w:p>
        </w:tc>
        <w:tc>
          <w:tcPr>
            <w:tcW w:w="1247" w:type="dxa"/>
            <w:shd w:val="clear" w:color="auto" w:fill="auto"/>
            <w:vAlign w:val="center"/>
          </w:tcPr>
          <w:p w14:paraId="7626AD7E" w14:textId="578CC13D" w:rsidR="00A87DE1" w:rsidRPr="00DF1BE3" w:rsidRDefault="009F39B1" w:rsidP="00FE6461">
            <w:pPr>
              <w:pStyle w:val="BodyText"/>
            </w:pPr>
            <w:r w:rsidRPr="009F39B1">
              <w:t>$211,000</w:t>
            </w:r>
          </w:p>
        </w:tc>
        <w:tc>
          <w:tcPr>
            <w:tcW w:w="1248" w:type="dxa"/>
            <w:shd w:val="clear" w:color="auto" w:fill="auto"/>
            <w:vAlign w:val="center"/>
          </w:tcPr>
          <w:p w14:paraId="44DA9F07" w14:textId="612E3259" w:rsidR="00A87DE1" w:rsidRPr="00DF1BE3" w:rsidRDefault="009F39B1" w:rsidP="00FE6461">
            <w:pPr>
              <w:pStyle w:val="BodyText"/>
            </w:pPr>
            <w:r w:rsidRPr="009F39B1">
              <w:t>Mar-21</w:t>
            </w:r>
          </w:p>
        </w:tc>
      </w:tr>
      <w:tr w:rsidR="00A87DE1" w14:paraId="348CF6DD" w14:textId="77777777" w:rsidTr="00FE6461">
        <w:trPr>
          <w:trHeight w:val="454"/>
        </w:trPr>
        <w:tc>
          <w:tcPr>
            <w:tcW w:w="2184" w:type="dxa"/>
            <w:vMerge/>
            <w:vAlign w:val="center"/>
          </w:tcPr>
          <w:p w14:paraId="178F63B1" w14:textId="77777777" w:rsidR="00A87DE1" w:rsidRPr="00DF1BE3" w:rsidRDefault="00A87DE1" w:rsidP="00FE6461">
            <w:pPr>
              <w:pStyle w:val="BodyText"/>
            </w:pPr>
          </w:p>
        </w:tc>
        <w:tc>
          <w:tcPr>
            <w:tcW w:w="4819" w:type="dxa"/>
            <w:shd w:val="clear" w:color="auto" w:fill="auto"/>
            <w:vAlign w:val="center"/>
          </w:tcPr>
          <w:p w14:paraId="72F02AA1" w14:textId="5FD7C3A7" w:rsidR="00A87DE1" w:rsidRPr="00E2704B" w:rsidRDefault="009F39B1" w:rsidP="00FE6461">
            <w:pPr>
              <w:pStyle w:val="BodyText"/>
            </w:pPr>
            <w:r>
              <w:t xml:space="preserve">Lot </w:t>
            </w:r>
            <w:r w:rsidRPr="009F39B1">
              <w:t>131</w:t>
            </w:r>
            <w:r>
              <w:t xml:space="preserve"> (</w:t>
            </w:r>
            <w:r w:rsidRPr="009F39B1">
              <w:t>263</w:t>
            </w:r>
            <w:r>
              <w:t xml:space="preserve">m2) </w:t>
            </w:r>
            <w:r w:rsidRPr="009F39B1">
              <w:t>Parkview</w:t>
            </w:r>
            <w:r>
              <w:t xml:space="preserve">, </w:t>
            </w:r>
            <w:r w:rsidRPr="009F39B1">
              <w:t>Tarneit</w:t>
            </w:r>
          </w:p>
        </w:tc>
        <w:tc>
          <w:tcPr>
            <w:tcW w:w="1247" w:type="dxa"/>
            <w:shd w:val="clear" w:color="auto" w:fill="auto"/>
            <w:vAlign w:val="center"/>
          </w:tcPr>
          <w:p w14:paraId="02A05E93" w14:textId="3C55165E" w:rsidR="00A87DE1" w:rsidRPr="00DF1BE3" w:rsidRDefault="009F39B1" w:rsidP="00FE6461">
            <w:pPr>
              <w:pStyle w:val="BodyText"/>
            </w:pPr>
            <w:r w:rsidRPr="009F39B1">
              <w:t>$220,000</w:t>
            </w:r>
          </w:p>
        </w:tc>
        <w:tc>
          <w:tcPr>
            <w:tcW w:w="1248" w:type="dxa"/>
            <w:shd w:val="clear" w:color="auto" w:fill="auto"/>
            <w:vAlign w:val="center"/>
          </w:tcPr>
          <w:p w14:paraId="5D58D916" w14:textId="26C0580D" w:rsidR="00A87DE1" w:rsidRPr="00DF1BE3" w:rsidRDefault="009F39B1" w:rsidP="00FE6461">
            <w:pPr>
              <w:pStyle w:val="BodyText"/>
            </w:pPr>
            <w:r w:rsidRPr="009F39B1">
              <w:t>May-21</w:t>
            </w:r>
          </w:p>
        </w:tc>
      </w:tr>
    </w:tbl>
    <w:p w14:paraId="61663855" w14:textId="298BFEFB" w:rsidR="00884D83" w:rsidRDefault="00884D83" w:rsidP="00A87DE1">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884D83" w:rsidRPr="004E4EE7" w14:paraId="75ED1DC0" w14:textId="77777777" w:rsidTr="00FE6461">
        <w:trPr>
          <w:trHeight w:val="454"/>
          <w:tblHeader/>
        </w:trPr>
        <w:tc>
          <w:tcPr>
            <w:tcW w:w="2184" w:type="dxa"/>
            <w:tcBorders>
              <w:top w:val="nil"/>
              <w:left w:val="nil"/>
              <w:right w:val="nil"/>
            </w:tcBorders>
            <w:vAlign w:val="bottom"/>
          </w:tcPr>
          <w:p w14:paraId="70E8959D" w14:textId="77777777" w:rsidR="00884D83" w:rsidRDefault="00884D83" w:rsidP="00FE6461">
            <w:pPr>
              <w:pStyle w:val="BodyText"/>
              <w:spacing w:after="0"/>
              <w:rPr>
                <w:color w:val="808080"/>
              </w:rPr>
            </w:pPr>
            <w:r>
              <w:rPr>
                <w:b/>
              </w:rPr>
              <w:t>Unit type or class</w:t>
            </w:r>
            <w:r w:rsidRPr="007D017B">
              <w:rPr>
                <w:color w:val="808080"/>
              </w:rPr>
              <w:t xml:space="preserve"> </w:t>
            </w:r>
          </w:p>
          <w:p w14:paraId="25C0A159" w14:textId="77777777" w:rsidR="00884D83" w:rsidRPr="00DF1BE3" w:rsidRDefault="00884D83" w:rsidP="00FE6461">
            <w:pPr>
              <w:pStyle w:val="QuestionHelpText"/>
              <w:rPr>
                <w:b/>
              </w:rPr>
            </w:pPr>
            <w:r w:rsidRPr="007D017B">
              <w:t>E.g. One bedroom units</w:t>
            </w:r>
          </w:p>
        </w:tc>
        <w:tc>
          <w:tcPr>
            <w:tcW w:w="4819" w:type="dxa"/>
            <w:tcBorders>
              <w:top w:val="nil"/>
              <w:left w:val="nil"/>
              <w:right w:val="nil"/>
            </w:tcBorders>
            <w:shd w:val="clear" w:color="auto" w:fill="auto"/>
            <w:vAlign w:val="bottom"/>
          </w:tcPr>
          <w:p w14:paraId="69FA89CD" w14:textId="44D7BE55" w:rsidR="00884D83" w:rsidRPr="00DF1BE3" w:rsidRDefault="00884D83" w:rsidP="00FE6461">
            <w:pPr>
              <w:pStyle w:val="BodyText"/>
              <w:rPr>
                <w:b/>
              </w:rPr>
            </w:pPr>
            <w:r w:rsidRPr="00DF1BE3">
              <w:rPr>
                <w:b/>
              </w:rPr>
              <w:t>Address</w:t>
            </w:r>
            <w:r>
              <w:rPr>
                <w:b/>
              </w:rPr>
              <w:t xml:space="preserve"> of comparable unit</w:t>
            </w:r>
            <w:r w:rsidR="00645B69">
              <w:rPr>
                <w:b/>
              </w:rPr>
              <w:t xml:space="preserve"> </w:t>
            </w:r>
          </w:p>
        </w:tc>
        <w:tc>
          <w:tcPr>
            <w:tcW w:w="1247" w:type="dxa"/>
            <w:tcBorders>
              <w:top w:val="nil"/>
              <w:left w:val="nil"/>
              <w:right w:val="nil"/>
            </w:tcBorders>
            <w:shd w:val="clear" w:color="auto" w:fill="auto"/>
            <w:vAlign w:val="bottom"/>
          </w:tcPr>
          <w:p w14:paraId="4B857FB3" w14:textId="77777777" w:rsidR="00884D83" w:rsidRPr="00DF1BE3" w:rsidRDefault="00884D83" w:rsidP="00FE6461">
            <w:pPr>
              <w:pStyle w:val="BodyText"/>
              <w:rPr>
                <w:b/>
              </w:rPr>
            </w:pPr>
            <w:r w:rsidRPr="00DF1BE3">
              <w:rPr>
                <w:b/>
              </w:rPr>
              <w:t>Price</w:t>
            </w:r>
          </w:p>
        </w:tc>
        <w:tc>
          <w:tcPr>
            <w:tcW w:w="1248" w:type="dxa"/>
            <w:tcBorders>
              <w:top w:val="nil"/>
              <w:left w:val="nil"/>
              <w:right w:val="nil"/>
            </w:tcBorders>
            <w:shd w:val="clear" w:color="auto" w:fill="auto"/>
            <w:vAlign w:val="bottom"/>
          </w:tcPr>
          <w:p w14:paraId="5B80C407" w14:textId="77777777" w:rsidR="00884D83" w:rsidRPr="00DF1BE3" w:rsidRDefault="00884D83" w:rsidP="00FE6461">
            <w:pPr>
              <w:pStyle w:val="BodyText"/>
              <w:rPr>
                <w:b/>
              </w:rPr>
            </w:pPr>
            <w:r>
              <w:rPr>
                <w:b/>
              </w:rPr>
              <w:t>Dat</w:t>
            </w:r>
            <w:r w:rsidRPr="00DF1BE3">
              <w:rPr>
                <w:b/>
              </w:rPr>
              <w:t xml:space="preserve">e of </w:t>
            </w:r>
            <w:r>
              <w:rPr>
                <w:b/>
              </w:rPr>
              <w:t>s</w:t>
            </w:r>
            <w:r w:rsidRPr="00DF1BE3">
              <w:rPr>
                <w:b/>
              </w:rPr>
              <w:t>ale</w:t>
            </w:r>
          </w:p>
        </w:tc>
      </w:tr>
      <w:tr w:rsidR="00884D83" w14:paraId="37252C77" w14:textId="77777777" w:rsidTr="00FE6461">
        <w:trPr>
          <w:trHeight w:val="454"/>
        </w:trPr>
        <w:tc>
          <w:tcPr>
            <w:tcW w:w="2184" w:type="dxa"/>
            <w:vMerge w:val="restart"/>
            <w:vAlign w:val="center"/>
          </w:tcPr>
          <w:p w14:paraId="36A157B0" w14:textId="77777777" w:rsidR="005D7C47" w:rsidRDefault="005D7C47" w:rsidP="00FE6461">
            <w:pPr>
              <w:pStyle w:val="BodyText"/>
            </w:pPr>
          </w:p>
          <w:p w14:paraId="249B4D75" w14:textId="26F18FF3" w:rsidR="009F39B1" w:rsidRPr="009F39B1" w:rsidRDefault="009F39B1" w:rsidP="009F39B1">
            <w:r w:rsidRPr="009F39B1">
              <w:t>Lot 1311, 1312 (272m2)</w:t>
            </w:r>
            <w:r w:rsidRPr="009F39B1">
              <w:tab/>
              <w:t>$237,000</w:t>
            </w:r>
          </w:p>
        </w:tc>
        <w:tc>
          <w:tcPr>
            <w:tcW w:w="4819" w:type="dxa"/>
            <w:shd w:val="clear" w:color="auto" w:fill="auto"/>
            <w:vAlign w:val="center"/>
          </w:tcPr>
          <w:p w14:paraId="74F73AF9" w14:textId="129A839D" w:rsidR="00884D83" w:rsidRPr="008B650A" w:rsidRDefault="002720B9" w:rsidP="00FE6461">
            <w:pPr>
              <w:pStyle w:val="BodyText"/>
            </w:pPr>
            <w:r>
              <w:t xml:space="preserve">Lot </w:t>
            </w:r>
            <w:r w:rsidRPr="002720B9">
              <w:t>1215</w:t>
            </w:r>
            <w:r>
              <w:t xml:space="preserve"> (</w:t>
            </w:r>
            <w:r w:rsidRPr="002720B9">
              <w:t>272</w:t>
            </w:r>
            <w:r>
              <w:t xml:space="preserve">m2) </w:t>
            </w:r>
            <w:r w:rsidRPr="002720B9">
              <w:t>Orchard</w:t>
            </w:r>
            <w:r>
              <w:t xml:space="preserve">, </w:t>
            </w:r>
            <w:r w:rsidRPr="002720B9">
              <w:t>Tarneit</w:t>
            </w:r>
          </w:p>
        </w:tc>
        <w:tc>
          <w:tcPr>
            <w:tcW w:w="1247" w:type="dxa"/>
            <w:shd w:val="clear" w:color="auto" w:fill="auto"/>
            <w:vAlign w:val="center"/>
          </w:tcPr>
          <w:p w14:paraId="4B9E4882" w14:textId="57CDF81E" w:rsidR="00884D83" w:rsidRPr="00DF1BE3" w:rsidRDefault="002720B9" w:rsidP="00FE6461">
            <w:pPr>
              <w:pStyle w:val="BodyText"/>
            </w:pPr>
            <w:r w:rsidRPr="002720B9">
              <w:t>$241,000</w:t>
            </w:r>
          </w:p>
        </w:tc>
        <w:tc>
          <w:tcPr>
            <w:tcW w:w="1248" w:type="dxa"/>
            <w:shd w:val="clear" w:color="auto" w:fill="auto"/>
            <w:vAlign w:val="center"/>
          </w:tcPr>
          <w:p w14:paraId="12508C5B" w14:textId="4160B21C" w:rsidR="00884D83" w:rsidRPr="00DF1BE3" w:rsidRDefault="002720B9" w:rsidP="00FE6461">
            <w:pPr>
              <w:pStyle w:val="BodyText"/>
            </w:pPr>
            <w:r w:rsidRPr="002720B9">
              <w:t>Apr-21</w:t>
            </w:r>
          </w:p>
        </w:tc>
      </w:tr>
      <w:tr w:rsidR="002B56C1" w14:paraId="75AB2E6A" w14:textId="77777777" w:rsidTr="00FE6461">
        <w:trPr>
          <w:trHeight w:val="454"/>
        </w:trPr>
        <w:tc>
          <w:tcPr>
            <w:tcW w:w="2184" w:type="dxa"/>
            <w:vMerge/>
            <w:vAlign w:val="center"/>
          </w:tcPr>
          <w:p w14:paraId="2827ADEB" w14:textId="77777777" w:rsidR="002B56C1" w:rsidRPr="00DF1BE3" w:rsidRDefault="002B56C1" w:rsidP="002B56C1">
            <w:pPr>
              <w:pStyle w:val="BodyText"/>
            </w:pPr>
          </w:p>
        </w:tc>
        <w:tc>
          <w:tcPr>
            <w:tcW w:w="4819" w:type="dxa"/>
            <w:shd w:val="clear" w:color="auto" w:fill="auto"/>
            <w:vAlign w:val="center"/>
          </w:tcPr>
          <w:p w14:paraId="1547DE4D" w14:textId="6E585E4F" w:rsidR="002B56C1" w:rsidRPr="008B650A" w:rsidRDefault="002720B9" w:rsidP="002B56C1">
            <w:pPr>
              <w:pStyle w:val="BodyText"/>
            </w:pPr>
            <w:r>
              <w:t xml:space="preserve">Lot </w:t>
            </w:r>
            <w:r w:rsidRPr="002720B9">
              <w:t>1138</w:t>
            </w:r>
            <w:r>
              <w:t xml:space="preserve"> (</w:t>
            </w:r>
            <w:r w:rsidRPr="002720B9">
              <w:t>273</w:t>
            </w:r>
            <w:r>
              <w:t xml:space="preserve">m2) </w:t>
            </w:r>
            <w:r w:rsidRPr="002720B9">
              <w:t>Orchard</w:t>
            </w:r>
            <w:r>
              <w:t xml:space="preserve">, </w:t>
            </w:r>
            <w:r w:rsidRPr="002720B9">
              <w:t>Tarneit</w:t>
            </w:r>
          </w:p>
        </w:tc>
        <w:tc>
          <w:tcPr>
            <w:tcW w:w="1247" w:type="dxa"/>
            <w:shd w:val="clear" w:color="auto" w:fill="auto"/>
            <w:vAlign w:val="center"/>
          </w:tcPr>
          <w:p w14:paraId="0127DFDB" w14:textId="32D4B7B0" w:rsidR="002B56C1" w:rsidRPr="00DF1BE3" w:rsidRDefault="002720B9" w:rsidP="002B56C1">
            <w:pPr>
              <w:pStyle w:val="BodyText"/>
            </w:pPr>
            <w:r w:rsidRPr="002720B9">
              <w:t>$244,000</w:t>
            </w:r>
          </w:p>
        </w:tc>
        <w:tc>
          <w:tcPr>
            <w:tcW w:w="1248" w:type="dxa"/>
            <w:shd w:val="clear" w:color="auto" w:fill="auto"/>
            <w:vAlign w:val="center"/>
          </w:tcPr>
          <w:p w14:paraId="71C38AA7" w14:textId="6E05595A" w:rsidR="002B56C1" w:rsidRPr="00DF1BE3" w:rsidRDefault="002720B9" w:rsidP="002B56C1">
            <w:pPr>
              <w:pStyle w:val="BodyText"/>
            </w:pPr>
            <w:r w:rsidRPr="002720B9">
              <w:t>Mar-21</w:t>
            </w:r>
          </w:p>
        </w:tc>
      </w:tr>
      <w:tr w:rsidR="00884D83" w14:paraId="59A49CED" w14:textId="77777777" w:rsidTr="00FE6461">
        <w:trPr>
          <w:trHeight w:val="454"/>
        </w:trPr>
        <w:tc>
          <w:tcPr>
            <w:tcW w:w="2184" w:type="dxa"/>
            <w:vMerge/>
            <w:vAlign w:val="center"/>
          </w:tcPr>
          <w:p w14:paraId="432086BA" w14:textId="77777777" w:rsidR="00884D83" w:rsidRPr="00DF1BE3" w:rsidRDefault="00884D83" w:rsidP="00FE6461">
            <w:pPr>
              <w:pStyle w:val="BodyText"/>
            </w:pPr>
          </w:p>
        </w:tc>
        <w:tc>
          <w:tcPr>
            <w:tcW w:w="4819" w:type="dxa"/>
            <w:shd w:val="clear" w:color="auto" w:fill="auto"/>
            <w:vAlign w:val="center"/>
          </w:tcPr>
          <w:p w14:paraId="51DD6EE7" w14:textId="169AD292" w:rsidR="00884D83" w:rsidRPr="008B650A" w:rsidRDefault="002720B9" w:rsidP="00FE6461">
            <w:pPr>
              <w:pStyle w:val="BodyText"/>
            </w:pPr>
            <w:r>
              <w:t xml:space="preserve">Lot </w:t>
            </w:r>
            <w:r w:rsidRPr="002720B9">
              <w:t>2002</w:t>
            </w:r>
            <w:r>
              <w:t xml:space="preserve"> (</w:t>
            </w:r>
            <w:r w:rsidRPr="002720B9">
              <w:t>279</w:t>
            </w:r>
            <w:r>
              <w:t xml:space="preserve">m2) </w:t>
            </w:r>
            <w:r w:rsidRPr="002720B9">
              <w:t>Habitat</w:t>
            </w:r>
            <w:r>
              <w:t xml:space="preserve">, </w:t>
            </w:r>
            <w:r w:rsidRPr="002720B9">
              <w:t>Tarneit</w:t>
            </w:r>
          </w:p>
        </w:tc>
        <w:tc>
          <w:tcPr>
            <w:tcW w:w="1247" w:type="dxa"/>
            <w:shd w:val="clear" w:color="auto" w:fill="auto"/>
            <w:vAlign w:val="center"/>
          </w:tcPr>
          <w:p w14:paraId="36F46BE2" w14:textId="5C163EA2" w:rsidR="00884D83" w:rsidRPr="00DF1BE3" w:rsidRDefault="002720B9" w:rsidP="00FE6461">
            <w:pPr>
              <w:pStyle w:val="BodyText"/>
            </w:pPr>
            <w:r w:rsidRPr="002720B9">
              <w:t>$247,000</w:t>
            </w:r>
          </w:p>
        </w:tc>
        <w:tc>
          <w:tcPr>
            <w:tcW w:w="1248" w:type="dxa"/>
            <w:shd w:val="clear" w:color="auto" w:fill="auto"/>
            <w:vAlign w:val="center"/>
          </w:tcPr>
          <w:p w14:paraId="59DBA061" w14:textId="7F83FC48" w:rsidR="00884D83" w:rsidRPr="00DF1BE3" w:rsidRDefault="002720B9" w:rsidP="00FE6461">
            <w:pPr>
              <w:pStyle w:val="BodyText"/>
            </w:pPr>
            <w:r w:rsidRPr="002720B9">
              <w:t>Mar-21</w:t>
            </w:r>
          </w:p>
        </w:tc>
      </w:tr>
    </w:tbl>
    <w:p w14:paraId="7995EFDA" w14:textId="081F80F3" w:rsidR="00884D83" w:rsidRDefault="00884D83" w:rsidP="00A87DE1">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884D83" w:rsidRPr="004E4EE7" w14:paraId="153D913F" w14:textId="77777777" w:rsidTr="00FE6461">
        <w:trPr>
          <w:trHeight w:val="454"/>
          <w:tblHeader/>
        </w:trPr>
        <w:tc>
          <w:tcPr>
            <w:tcW w:w="2184" w:type="dxa"/>
            <w:tcBorders>
              <w:top w:val="nil"/>
              <w:left w:val="nil"/>
              <w:right w:val="nil"/>
            </w:tcBorders>
            <w:vAlign w:val="bottom"/>
          </w:tcPr>
          <w:p w14:paraId="6857091C" w14:textId="77777777" w:rsidR="00884D83" w:rsidRDefault="00884D83" w:rsidP="00FE6461">
            <w:pPr>
              <w:pStyle w:val="BodyText"/>
              <w:spacing w:after="0"/>
              <w:rPr>
                <w:color w:val="808080"/>
              </w:rPr>
            </w:pPr>
            <w:r>
              <w:rPr>
                <w:b/>
              </w:rPr>
              <w:t>Unit type or class</w:t>
            </w:r>
            <w:r w:rsidRPr="007D017B">
              <w:rPr>
                <w:color w:val="808080"/>
              </w:rPr>
              <w:t xml:space="preserve"> </w:t>
            </w:r>
          </w:p>
          <w:p w14:paraId="6E057460" w14:textId="77777777" w:rsidR="00884D83" w:rsidRPr="00DF1BE3" w:rsidRDefault="00884D83" w:rsidP="00FE6461">
            <w:pPr>
              <w:pStyle w:val="QuestionHelpText"/>
              <w:rPr>
                <w:b/>
              </w:rPr>
            </w:pPr>
            <w:r w:rsidRPr="007D017B">
              <w:t>E.g. One bedroom units</w:t>
            </w:r>
          </w:p>
        </w:tc>
        <w:tc>
          <w:tcPr>
            <w:tcW w:w="4819" w:type="dxa"/>
            <w:tcBorders>
              <w:top w:val="nil"/>
              <w:left w:val="nil"/>
              <w:right w:val="nil"/>
            </w:tcBorders>
            <w:shd w:val="clear" w:color="auto" w:fill="auto"/>
            <w:vAlign w:val="bottom"/>
          </w:tcPr>
          <w:p w14:paraId="624E74B8" w14:textId="23ADAE1A" w:rsidR="00884D83" w:rsidRPr="00DF1BE3" w:rsidRDefault="00884D83" w:rsidP="00FE6461">
            <w:pPr>
              <w:pStyle w:val="BodyText"/>
              <w:rPr>
                <w:b/>
              </w:rPr>
            </w:pPr>
            <w:r w:rsidRPr="00DF1BE3">
              <w:rPr>
                <w:b/>
              </w:rPr>
              <w:t>Address</w:t>
            </w:r>
            <w:r>
              <w:rPr>
                <w:b/>
              </w:rPr>
              <w:t xml:space="preserve"> of comparable unit</w:t>
            </w:r>
            <w:r w:rsidR="00645B69">
              <w:rPr>
                <w:b/>
              </w:rPr>
              <w:t xml:space="preserve"> </w:t>
            </w:r>
          </w:p>
        </w:tc>
        <w:tc>
          <w:tcPr>
            <w:tcW w:w="1247" w:type="dxa"/>
            <w:tcBorders>
              <w:top w:val="nil"/>
              <w:left w:val="nil"/>
              <w:right w:val="nil"/>
            </w:tcBorders>
            <w:shd w:val="clear" w:color="auto" w:fill="auto"/>
            <w:vAlign w:val="bottom"/>
          </w:tcPr>
          <w:p w14:paraId="76E09BC5" w14:textId="77777777" w:rsidR="00884D83" w:rsidRPr="00DF1BE3" w:rsidRDefault="00884D83" w:rsidP="00FE6461">
            <w:pPr>
              <w:pStyle w:val="BodyText"/>
              <w:rPr>
                <w:b/>
              </w:rPr>
            </w:pPr>
            <w:r w:rsidRPr="00DF1BE3">
              <w:rPr>
                <w:b/>
              </w:rPr>
              <w:t>Price</w:t>
            </w:r>
          </w:p>
        </w:tc>
        <w:tc>
          <w:tcPr>
            <w:tcW w:w="1248" w:type="dxa"/>
            <w:tcBorders>
              <w:top w:val="nil"/>
              <w:left w:val="nil"/>
              <w:right w:val="nil"/>
            </w:tcBorders>
            <w:shd w:val="clear" w:color="auto" w:fill="auto"/>
            <w:vAlign w:val="bottom"/>
          </w:tcPr>
          <w:p w14:paraId="21C4C81C" w14:textId="77777777" w:rsidR="00884D83" w:rsidRPr="00DF1BE3" w:rsidRDefault="00884D83" w:rsidP="00FE6461">
            <w:pPr>
              <w:pStyle w:val="BodyText"/>
              <w:rPr>
                <w:b/>
              </w:rPr>
            </w:pPr>
            <w:r>
              <w:rPr>
                <w:b/>
              </w:rPr>
              <w:t>Dat</w:t>
            </w:r>
            <w:r w:rsidRPr="00DF1BE3">
              <w:rPr>
                <w:b/>
              </w:rPr>
              <w:t xml:space="preserve">e of </w:t>
            </w:r>
            <w:r>
              <w:rPr>
                <w:b/>
              </w:rPr>
              <w:t>s</w:t>
            </w:r>
            <w:r w:rsidRPr="00DF1BE3">
              <w:rPr>
                <w:b/>
              </w:rPr>
              <w:t>ale</w:t>
            </w:r>
          </w:p>
        </w:tc>
      </w:tr>
      <w:tr w:rsidR="00884D83" w14:paraId="29A4F516" w14:textId="77777777" w:rsidTr="00FE6461">
        <w:trPr>
          <w:trHeight w:val="454"/>
        </w:trPr>
        <w:tc>
          <w:tcPr>
            <w:tcW w:w="2184" w:type="dxa"/>
            <w:vMerge w:val="restart"/>
            <w:vAlign w:val="center"/>
          </w:tcPr>
          <w:p w14:paraId="75F9E4C4" w14:textId="5B0262C9" w:rsidR="002B56C1" w:rsidRPr="00DF1BE3" w:rsidRDefault="002720B9" w:rsidP="00FE6461">
            <w:pPr>
              <w:pStyle w:val="BodyText"/>
            </w:pPr>
            <w:r w:rsidRPr="002720B9">
              <w:t>Lot 1301 (306m2)</w:t>
            </w:r>
            <w:r w:rsidRPr="002720B9">
              <w:tab/>
              <w:t>$246,000</w:t>
            </w:r>
          </w:p>
        </w:tc>
        <w:tc>
          <w:tcPr>
            <w:tcW w:w="4819" w:type="dxa"/>
            <w:shd w:val="clear" w:color="auto" w:fill="auto"/>
            <w:vAlign w:val="center"/>
          </w:tcPr>
          <w:p w14:paraId="0ECA2CF7" w14:textId="2D4A0EB6" w:rsidR="00884D83" w:rsidRPr="00524FBB" w:rsidRDefault="002720B9" w:rsidP="00FE6461">
            <w:pPr>
              <w:pStyle w:val="BodyText"/>
            </w:pPr>
            <w:r>
              <w:t xml:space="preserve">Lot </w:t>
            </w:r>
            <w:r w:rsidRPr="002720B9">
              <w:t>1158</w:t>
            </w:r>
            <w:r>
              <w:t xml:space="preserve"> (</w:t>
            </w:r>
            <w:r w:rsidRPr="002720B9">
              <w:t>292</w:t>
            </w:r>
            <w:r>
              <w:t>m2)</w:t>
            </w:r>
            <w:r w:rsidRPr="002720B9">
              <w:tab/>
              <w:t>Verdant Hill</w:t>
            </w:r>
            <w:r>
              <w:t xml:space="preserve">, </w:t>
            </w:r>
            <w:r w:rsidRPr="002720B9">
              <w:t>Tarneit</w:t>
            </w:r>
          </w:p>
        </w:tc>
        <w:tc>
          <w:tcPr>
            <w:tcW w:w="1247" w:type="dxa"/>
            <w:shd w:val="clear" w:color="auto" w:fill="auto"/>
            <w:vAlign w:val="center"/>
          </w:tcPr>
          <w:p w14:paraId="7D2BB9A6" w14:textId="5EC248A8" w:rsidR="00884D83" w:rsidRPr="00DF1BE3" w:rsidRDefault="002720B9" w:rsidP="00FE6461">
            <w:pPr>
              <w:pStyle w:val="BodyText"/>
            </w:pPr>
            <w:r w:rsidRPr="002720B9">
              <w:t>$249,000</w:t>
            </w:r>
          </w:p>
        </w:tc>
        <w:tc>
          <w:tcPr>
            <w:tcW w:w="1248" w:type="dxa"/>
            <w:shd w:val="clear" w:color="auto" w:fill="auto"/>
            <w:vAlign w:val="center"/>
          </w:tcPr>
          <w:p w14:paraId="117DFECF" w14:textId="69CD9FAB" w:rsidR="00884D83" w:rsidRPr="00DF1BE3" w:rsidRDefault="002720B9" w:rsidP="00FE6461">
            <w:pPr>
              <w:pStyle w:val="BodyText"/>
            </w:pPr>
            <w:r w:rsidRPr="002720B9">
              <w:t>Mar-21</w:t>
            </w:r>
          </w:p>
        </w:tc>
      </w:tr>
      <w:tr w:rsidR="00884D83" w14:paraId="69975337" w14:textId="77777777" w:rsidTr="00FE6461">
        <w:trPr>
          <w:trHeight w:val="454"/>
        </w:trPr>
        <w:tc>
          <w:tcPr>
            <w:tcW w:w="2184" w:type="dxa"/>
            <w:vMerge/>
            <w:vAlign w:val="center"/>
          </w:tcPr>
          <w:p w14:paraId="385B1513" w14:textId="77777777" w:rsidR="00884D83" w:rsidRPr="00DF1BE3" w:rsidRDefault="00884D83" w:rsidP="00FE6461">
            <w:pPr>
              <w:pStyle w:val="BodyText"/>
            </w:pPr>
          </w:p>
        </w:tc>
        <w:tc>
          <w:tcPr>
            <w:tcW w:w="4819" w:type="dxa"/>
            <w:shd w:val="clear" w:color="auto" w:fill="auto"/>
            <w:vAlign w:val="center"/>
          </w:tcPr>
          <w:p w14:paraId="194449B4" w14:textId="707864B1" w:rsidR="00884D83" w:rsidRPr="00524FBB" w:rsidRDefault="002720B9" w:rsidP="00FE6461">
            <w:pPr>
              <w:pStyle w:val="BodyText"/>
            </w:pPr>
            <w:r>
              <w:t xml:space="preserve">Lot </w:t>
            </w:r>
            <w:r w:rsidRPr="002720B9">
              <w:t>1231</w:t>
            </w:r>
            <w:r>
              <w:t xml:space="preserve"> (</w:t>
            </w:r>
            <w:r w:rsidRPr="002720B9">
              <w:t>294</w:t>
            </w:r>
            <w:r>
              <w:t>m2)</w:t>
            </w:r>
            <w:r w:rsidRPr="002720B9">
              <w:tab/>
            </w:r>
            <w:r>
              <w:t xml:space="preserve"> </w:t>
            </w:r>
            <w:r w:rsidRPr="002720B9">
              <w:t>Orchard</w:t>
            </w:r>
            <w:r>
              <w:t xml:space="preserve">, </w:t>
            </w:r>
            <w:r w:rsidRPr="002720B9">
              <w:t>Tarneit</w:t>
            </w:r>
          </w:p>
        </w:tc>
        <w:tc>
          <w:tcPr>
            <w:tcW w:w="1247" w:type="dxa"/>
            <w:shd w:val="clear" w:color="auto" w:fill="auto"/>
            <w:vAlign w:val="center"/>
          </w:tcPr>
          <w:p w14:paraId="6BCC4306" w14:textId="5CA5526C" w:rsidR="00884D83" w:rsidRPr="00DF1BE3" w:rsidRDefault="002720B9" w:rsidP="00FE6461">
            <w:pPr>
              <w:pStyle w:val="BodyText"/>
            </w:pPr>
            <w:r w:rsidRPr="002720B9">
              <w:t>$262,000</w:t>
            </w:r>
          </w:p>
        </w:tc>
        <w:tc>
          <w:tcPr>
            <w:tcW w:w="1248" w:type="dxa"/>
            <w:shd w:val="clear" w:color="auto" w:fill="auto"/>
            <w:vAlign w:val="center"/>
          </w:tcPr>
          <w:p w14:paraId="163425B5" w14:textId="503D19EC" w:rsidR="00884D83" w:rsidRPr="00DF1BE3" w:rsidRDefault="002720B9" w:rsidP="00FE6461">
            <w:pPr>
              <w:pStyle w:val="BodyText"/>
            </w:pPr>
            <w:r w:rsidRPr="002720B9">
              <w:t>May-21</w:t>
            </w:r>
          </w:p>
        </w:tc>
      </w:tr>
      <w:tr w:rsidR="00884D83" w14:paraId="0DC622CF" w14:textId="77777777" w:rsidTr="00FE6461">
        <w:trPr>
          <w:trHeight w:val="454"/>
        </w:trPr>
        <w:tc>
          <w:tcPr>
            <w:tcW w:w="2184" w:type="dxa"/>
            <w:vMerge/>
            <w:vAlign w:val="center"/>
          </w:tcPr>
          <w:p w14:paraId="6D60433D" w14:textId="77777777" w:rsidR="00884D83" w:rsidRPr="00DF1BE3" w:rsidRDefault="00884D83" w:rsidP="00FE6461">
            <w:pPr>
              <w:pStyle w:val="BodyText"/>
            </w:pPr>
          </w:p>
        </w:tc>
        <w:tc>
          <w:tcPr>
            <w:tcW w:w="4819" w:type="dxa"/>
            <w:shd w:val="clear" w:color="auto" w:fill="auto"/>
            <w:vAlign w:val="center"/>
          </w:tcPr>
          <w:p w14:paraId="21006855" w14:textId="71B4D7AD" w:rsidR="00884D83" w:rsidRPr="00524FBB" w:rsidRDefault="002720B9" w:rsidP="00FE6461">
            <w:pPr>
              <w:pStyle w:val="BodyText"/>
            </w:pPr>
            <w:r>
              <w:t xml:space="preserve">Lot </w:t>
            </w:r>
            <w:r w:rsidRPr="002720B9">
              <w:t>210</w:t>
            </w:r>
            <w:r>
              <w:t xml:space="preserve"> (</w:t>
            </w:r>
            <w:r w:rsidRPr="002720B9">
              <w:t>312</w:t>
            </w:r>
            <w:r>
              <w:t xml:space="preserve">m2) </w:t>
            </w:r>
            <w:r w:rsidRPr="002720B9">
              <w:t>Parkvie</w:t>
            </w:r>
            <w:r>
              <w:t xml:space="preserve">w, </w:t>
            </w:r>
            <w:r w:rsidRPr="002720B9">
              <w:t>Tarneit</w:t>
            </w:r>
          </w:p>
        </w:tc>
        <w:tc>
          <w:tcPr>
            <w:tcW w:w="1247" w:type="dxa"/>
            <w:shd w:val="clear" w:color="auto" w:fill="auto"/>
            <w:vAlign w:val="center"/>
          </w:tcPr>
          <w:p w14:paraId="27AF5162" w14:textId="7F4C1610" w:rsidR="00884D83" w:rsidRPr="00DF1BE3" w:rsidRDefault="002720B9" w:rsidP="00FE6461">
            <w:pPr>
              <w:pStyle w:val="BodyText"/>
            </w:pPr>
            <w:r w:rsidRPr="002720B9">
              <w:t>$270,000</w:t>
            </w:r>
          </w:p>
        </w:tc>
        <w:tc>
          <w:tcPr>
            <w:tcW w:w="1248" w:type="dxa"/>
            <w:shd w:val="clear" w:color="auto" w:fill="auto"/>
            <w:vAlign w:val="center"/>
          </w:tcPr>
          <w:p w14:paraId="0BD1E18A" w14:textId="796C5736" w:rsidR="00884D83" w:rsidRPr="00DF1BE3" w:rsidRDefault="002720B9" w:rsidP="00FE6461">
            <w:pPr>
              <w:pStyle w:val="BodyText"/>
            </w:pPr>
            <w:r w:rsidRPr="002720B9">
              <w:t>Apr-21</w:t>
            </w:r>
          </w:p>
        </w:tc>
      </w:tr>
    </w:tbl>
    <w:p w14:paraId="6CC6EB3C" w14:textId="263B4001" w:rsidR="00884D83" w:rsidRDefault="00884D83" w:rsidP="00A87DE1">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884D83" w:rsidRPr="004E4EE7" w14:paraId="55CF652A" w14:textId="77777777" w:rsidTr="00FE6461">
        <w:trPr>
          <w:trHeight w:val="454"/>
          <w:tblHeader/>
        </w:trPr>
        <w:tc>
          <w:tcPr>
            <w:tcW w:w="2184" w:type="dxa"/>
            <w:tcBorders>
              <w:top w:val="nil"/>
              <w:left w:val="nil"/>
              <w:right w:val="nil"/>
            </w:tcBorders>
            <w:vAlign w:val="bottom"/>
          </w:tcPr>
          <w:p w14:paraId="5CA77E30" w14:textId="77777777" w:rsidR="00884D83" w:rsidRDefault="00884D83" w:rsidP="00FE6461">
            <w:pPr>
              <w:pStyle w:val="BodyText"/>
              <w:spacing w:after="0"/>
              <w:rPr>
                <w:color w:val="808080"/>
              </w:rPr>
            </w:pPr>
            <w:r>
              <w:rPr>
                <w:b/>
              </w:rPr>
              <w:t>Unit type or class</w:t>
            </w:r>
            <w:r w:rsidRPr="007D017B">
              <w:rPr>
                <w:color w:val="808080"/>
              </w:rPr>
              <w:t xml:space="preserve"> </w:t>
            </w:r>
          </w:p>
          <w:p w14:paraId="20A0CE22" w14:textId="77777777" w:rsidR="00884D83" w:rsidRPr="00DF1BE3" w:rsidRDefault="00884D83" w:rsidP="00FE6461">
            <w:pPr>
              <w:pStyle w:val="QuestionHelpText"/>
              <w:rPr>
                <w:b/>
              </w:rPr>
            </w:pPr>
            <w:r w:rsidRPr="007D017B">
              <w:t>E.g. One bedroom units</w:t>
            </w:r>
          </w:p>
        </w:tc>
        <w:tc>
          <w:tcPr>
            <w:tcW w:w="4819" w:type="dxa"/>
            <w:tcBorders>
              <w:top w:val="nil"/>
              <w:left w:val="nil"/>
              <w:right w:val="nil"/>
            </w:tcBorders>
            <w:shd w:val="clear" w:color="auto" w:fill="auto"/>
            <w:vAlign w:val="bottom"/>
          </w:tcPr>
          <w:p w14:paraId="5410A7E5" w14:textId="7AF067F9" w:rsidR="00884D83" w:rsidRPr="00DF1BE3" w:rsidRDefault="00884D83" w:rsidP="00FE6461">
            <w:pPr>
              <w:pStyle w:val="BodyText"/>
              <w:rPr>
                <w:b/>
              </w:rPr>
            </w:pPr>
            <w:r w:rsidRPr="00DF1BE3">
              <w:rPr>
                <w:b/>
              </w:rPr>
              <w:t>Address</w:t>
            </w:r>
            <w:r>
              <w:rPr>
                <w:b/>
              </w:rPr>
              <w:t xml:space="preserve"> of comparable unit</w:t>
            </w:r>
            <w:r w:rsidR="00645B69">
              <w:rPr>
                <w:b/>
              </w:rPr>
              <w:t xml:space="preserve"> </w:t>
            </w:r>
          </w:p>
        </w:tc>
        <w:tc>
          <w:tcPr>
            <w:tcW w:w="1247" w:type="dxa"/>
            <w:tcBorders>
              <w:top w:val="nil"/>
              <w:left w:val="nil"/>
              <w:right w:val="nil"/>
            </w:tcBorders>
            <w:shd w:val="clear" w:color="auto" w:fill="auto"/>
            <w:vAlign w:val="bottom"/>
          </w:tcPr>
          <w:p w14:paraId="1E05E937" w14:textId="77777777" w:rsidR="00884D83" w:rsidRPr="00DF1BE3" w:rsidRDefault="00884D83" w:rsidP="00FE6461">
            <w:pPr>
              <w:pStyle w:val="BodyText"/>
              <w:rPr>
                <w:b/>
              </w:rPr>
            </w:pPr>
            <w:r w:rsidRPr="00DF1BE3">
              <w:rPr>
                <w:b/>
              </w:rPr>
              <w:t>Price</w:t>
            </w:r>
          </w:p>
        </w:tc>
        <w:tc>
          <w:tcPr>
            <w:tcW w:w="1248" w:type="dxa"/>
            <w:tcBorders>
              <w:top w:val="nil"/>
              <w:left w:val="nil"/>
              <w:right w:val="nil"/>
            </w:tcBorders>
            <w:shd w:val="clear" w:color="auto" w:fill="auto"/>
            <w:vAlign w:val="bottom"/>
          </w:tcPr>
          <w:p w14:paraId="63D0A178" w14:textId="77777777" w:rsidR="00884D83" w:rsidRPr="00DF1BE3" w:rsidRDefault="00884D83" w:rsidP="00FE6461">
            <w:pPr>
              <w:pStyle w:val="BodyText"/>
              <w:rPr>
                <w:b/>
              </w:rPr>
            </w:pPr>
            <w:r>
              <w:rPr>
                <w:b/>
              </w:rPr>
              <w:t>Dat</w:t>
            </w:r>
            <w:r w:rsidRPr="00DF1BE3">
              <w:rPr>
                <w:b/>
              </w:rPr>
              <w:t xml:space="preserve">e of </w:t>
            </w:r>
            <w:r>
              <w:rPr>
                <w:b/>
              </w:rPr>
              <w:t>s</w:t>
            </w:r>
            <w:r w:rsidRPr="00DF1BE3">
              <w:rPr>
                <w:b/>
              </w:rPr>
              <w:t>ale</w:t>
            </w:r>
          </w:p>
        </w:tc>
      </w:tr>
      <w:tr w:rsidR="005D7C47" w14:paraId="79242060" w14:textId="77777777" w:rsidTr="001D77FF">
        <w:trPr>
          <w:trHeight w:val="454"/>
        </w:trPr>
        <w:tc>
          <w:tcPr>
            <w:tcW w:w="2184" w:type="dxa"/>
            <w:vMerge w:val="restart"/>
            <w:vAlign w:val="center"/>
          </w:tcPr>
          <w:p w14:paraId="28F5E549" w14:textId="77777777" w:rsidR="002720B9" w:rsidRDefault="002720B9" w:rsidP="005D7C47">
            <w:pPr>
              <w:pStyle w:val="BodyText"/>
            </w:pPr>
            <w:r w:rsidRPr="002720B9">
              <w:t>Lot 1310, 1321, 1324, 1325 (345m2 – 359m2)</w:t>
            </w:r>
          </w:p>
          <w:p w14:paraId="1068DDAB" w14:textId="260A472D" w:rsidR="005D7C47" w:rsidRPr="00DF1BE3" w:rsidRDefault="002720B9" w:rsidP="005D7C47">
            <w:pPr>
              <w:pStyle w:val="BodyText"/>
            </w:pPr>
            <w:r w:rsidRPr="002720B9">
              <w:t>$281,000</w:t>
            </w:r>
            <w:r>
              <w:t xml:space="preserve"> - </w:t>
            </w:r>
            <w:r w:rsidRPr="002720B9">
              <w:t>$304,000</w:t>
            </w:r>
          </w:p>
        </w:tc>
        <w:tc>
          <w:tcPr>
            <w:tcW w:w="4819" w:type="dxa"/>
            <w:shd w:val="clear" w:color="auto" w:fill="auto"/>
            <w:vAlign w:val="center"/>
          </w:tcPr>
          <w:p w14:paraId="220CA1B2" w14:textId="14E607AF" w:rsidR="005D7C47" w:rsidRPr="00932891" w:rsidRDefault="002720B9" w:rsidP="005D7C47">
            <w:pPr>
              <w:pStyle w:val="BodyText"/>
            </w:pPr>
            <w:r>
              <w:t xml:space="preserve">Lot </w:t>
            </w:r>
            <w:r w:rsidRPr="002720B9">
              <w:t>6204</w:t>
            </w:r>
            <w:r>
              <w:t xml:space="preserve"> (</w:t>
            </w:r>
            <w:r w:rsidRPr="002720B9">
              <w:t>348</w:t>
            </w:r>
            <w:r>
              <w:t>m2)</w:t>
            </w:r>
            <w:r w:rsidRPr="002720B9">
              <w:tab/>
            </w:r>
            <w:r>
              <w:t xml:space="preserve"> T</w:t>
            </w:r>
            <w:r w:rsidRPr="002720B9">
              <w:t>he Grove</w:t>
            </w:r>
            <w:r>
              <w:t xml:space="preserve">, </w:t>
            </w:r>
            <w:r w:rsidRPr="002720B9">
              <w:t>Tarneit</w:t>
            </w:r>
          </w:p>
        </w:tc>
        <w:tc>
          <w:tcPr>
            <w:tcW w:w="1247" w:type="dxa"/>
            <w:shd w:val="clear" w:color="auto" w:fill="auto"/>
            <w:vAlign w:val="bottom"/>
          </w:tcPr>
          <w:p w14:paraId="59A3E275" w14:textId="5C1D75D2" w:rsidR="005D7C47" w:rsidRPr="00DF1BE3" w:rsidRDefault="002720B9" w:rsidP="005D7C47">
            <w:pPr>
              <w:pStyle w:val="BodyText"/>
            </w:pPr>
            <w:r w:rsidRPr="002720B9">
              <w:t>$284,500</w:t>
            </w:r>
          </w:p>
        </w:tc>
        <w:tc>
          <w:tcPr>
            <w:tcW w:w="1248" w:type="dxa"/>
            <w:shd w:val="clear" w:color="auto" w:fill="auto"/>
            <w:vAlign w:val="bottom"/>
          </w:tcPr>
          <w:p w14:paraId="7F339690" w14:textId="37BADED3" w:rsidR="005D7C47" w:rsidRPr="00DF1BE3" w:rsidRDefault="002720B9" w:rsidP="005D7C47">
            <w:pPr>
              <w:pStyle w:val="BodyText"/>
            </w:pPr>
            <w:r w:rsidRPr="002720B9">
              <w:t>Mar-21</w:t>
            </w:r>
          </w:p>
        </w:tc>
      </w:tr>
      <w:tr w:rsidR="005D7C47" w14:paraId="5E8B1CFE" w14:textId="77777777" w:rsidTr="001D77FF">
        <w:trPr>
          <w:trHeight w:val="454"/>
        </w:trPr>
        <w:tc>
          <w:tcPr>
            <w:tcW w:w="2184" w:type="dxa"/>
            <w:vMerge/>
            <w:vAlign w:val="center"/>
          </w:tcPr>
          <w:p w14:paraId="79FAEBB2" w14:textId="77777777" w:rsidR="005D7C47" w:rsidRPr="00DF1BE3" w:rsidRDefault="005D7C47" w:rsidP="005D7C47">
            <w:pPr>
              <w:pStyle w:val="BodyText"/>
            </w:pPr>
          </w:p>
        </w:tc>
        <w:tc>
          <w:tcPr>
            <w:tcW w:w="4819" w:type="dxa"/>
            <w:shd w:val="clear" w:color="auto" w:fill="auto"/>
            <w:vAlign w:val="center"/>
          </w:tcPr>
          <w:p w14:paraId="2A31105D" w14:textId="37042070" w:rsidR="005D7C47" w:rsidRPr="00932891" w:rsidRDefault="002720B9" w:rsidP="005D7C47">
            <w:pPr>
              <w:pStyle w:val="BodyText"/>
            </w:pPr>
            <w:r>
              <w:t xml:space="preserve">Lot </w:t>
            </w:r>
            <w:r w:rsidRPr="002720B9">
              <w:t>66</w:t>
            </w:r>
            <w:r>
              <w:t xml:space="preserve"> (</w:t>
            </w:r>
            <w:r w:rsidRPr="002720B9">
              <w:t>348</w:t>
            </w:r>
            <w:r>
              <w:t xml:space="preserve">m2) </w:t>
            </w:r>
            <w:r w:rsidRPr="002720B9">
              <w:t>Western Gardenia</w:t>
            </w:r>
            <w:r>
              <w:t>, T</w:t>
            </w:r>
            <w:r w:rsidRPr="002720B9">
              <w:t>arneit</w:t>
            </w:r>
          </w:p>
        </w:tc>
        <w:tc>
          <w:tcPr>
            <w:tcW w:w="1247" w:type="dxa"/>
            <w:shd w:val="clear" w:color="auto" w:fill="auto"/>
            <w:vAlign w:val="bottom"/>
          </w:tcPr>
          <w:p w14:paraId="374D8DA3" w14:textId="2379206E" w:rsidR="005D7C47" w:rsidRPr="00DF1BE3" w:rsidRDefault="002720B9" w:rsidP="005D7C47">
            <w:pPr>
              <w:pStyle w:val="BodyText"/>
            </w:pPr>
            <w:r w:rsidRPr="002720B9">
              <w:t>$295,500</w:t>
            </w:r>
          </w:p>
        </w:tc>
        <w:tc>
          <w:tcPr>
            <w:tcW w:w="1248" w:type="dxa"/>
            <w:shd w:val="clear" w:color="auto" w:fill="auto"/>
            <w:vAlign w:val="bottom"/>
          </w:tcPr>
          <w:p w14:paraId="353F757D" w14:textId="630CAAC9" w:rsidR="005D7C47" w:rsidRPr="00DF1BE3" w:rsidRDefault="002720B9" w:rsidP="005D7C47">
            <w:pPr>
              <w:pStyle w:val="BodyText"/>
            </w:pPr>
            <w:r w:rsidRPr="002720B9">
              <w:t>Mar-21</w:t>
            </w:r>
          </w:p>
        </w:tc>
      </w:tr>
      <w:tr w:rsidR="005D7C47" w14:paraId="5BEA13D5" w14:textId="77777777" w:rsidTr="001D77FF">
        <w:trPr>
          <w:trHeight w:val="454"/>
        </w:trPr>
        <w:tc>
          <w:tcPr>
            <w:tcW w:w="2184" w:type="dxa"/>
            <w:vMerge/>
            <w:vAlign w:val="center"/>
          </w:tcPr>
          <w:p w14:paraId="19E41B49" w14:textId="77777777" w:rsidR="005D7C47" w:rsidRPr="00DF1BE3" w:rsidRDefault="005D7C47" w:rsidP="005D7C47">
            <w:pPr>
              <w:pStyle w:val="BodyText"/>
            </w:pPr>
          </w:p>
        </w:tc>
        <w:tc>
          <w:tcPr>
            <w:tcW w:w="4819" w:type="dxa"/>
            <w:shd w:val="clear" w:color="auto" w:fill="auto"/>
            <w:vAlign w:val="center"/>
          </w:tcPr>
          <w:p w14:paraId="5EF77F48" w14:textId="4EFE9911" w:rsidR="005D7C47" w:rsidRPr="00932891" w:rsidRDefault="002720B9" w:rsidP="005D7C47">
            <w:pPr>
              <w:pStyle w:val="BodyText"/>
            </w:pPr>
            <w:r>
              <w:t xml:space="preserve">Lot </w:t>
            </w:r>
            <w:r w:rsidRPr="002720B9">
              <w:t>6253</w:t>
            </w:r>
            <w:r>
              <w:t xml:space="preserve"> (</w:t>
            </w:r>
            <w:r w:rsidRPr="002720B9">
              <w:t>349</w:t>
            </w:r>
            <w:r>
              <w:t>m2)</w:t>
            </w:r>
            <w:r w:rsidRPr="002720B9">
              <w:tab/>
              <w:t>The Grove</w:t>
            </w:r>
            <w:r w:rsidR="00D71018">
              <w:t xml:space="preserve">, </w:t>
            </w:r>
            <w:r w:rsidRPr="002720B9">
              <w:t>Tarneit</w:t>
            </w:r>
          </w:p>
        </w:tc>
        <w:tc>
          <w:tcPr>
            <w:tcW w:w="1247" w:type="dxa"/>
            <w:shd w:val="clear" w:color="auto" w:fill="auto"/>
            <w:vAlign w:val="bottom"/>
          </w:tcPr>
          <w:p w14:paraId="57DADD19" w14:textId="7CBA9F89" w:rsidR="005D7C47" w:rsidRPr="00DF1BE3" w:rsidRDefault="002720B9" w:rsidP="005D7C47">
            <w:pPr>
              <w:pStyle w:val="BodyText"/>
            </w:pPr>
            <w:r w:rsidRPr="002720B9">
              <w:t>$284,500</w:t>
            </w:r>
          </w:p>
        </w:tc>
        <w:tc>
          <w:tcPr>
            <w:tcW w:w="1248" w:type="dxa"/>
            <w:shd w:val="clear" w:color="auto" w:fill="auto"/>
            <w:vAlign w:val="bottom"/>
          </w:tcPr>
          <w:p w14:paraId="0260F029" w14:textId="6F3776A6" w:rsidR="005D7C47" w:rsidRPr="00DF1BE3" w:rsidRDefault="00D71018" w:rsidP="005D7C47">
            <w:pPr>
              <w:pStyle w:val="BodyText"/>
            </w:pPr>
            <w:r w:rsidRPr="002720B9">
              <w:t>Mar-21</w:t>
            </w:r>
          </w:p>
        </w:tc>
      </w:tr>
    </w:tbl>
    <w:p w14:paraId="07FBC08C" w14:textId="589975D1" w:rsidR="00527A4B" w:rsidRDefault="00527A4B" w:rsidP="00A87DE1">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C16089" w:rsidRPr="004E4EE7" w14:paraId="6F9E054A" w14:textId="77777777" w:rsidTr="00097633">
        <w:trPr>
          <w:trHeight w:val="454"/>
          <w:tblHeader/>
        </w:trPr>
        <w:tc>
          <w:tcPr>
            <w:tcW w:w="2184" w:type="dxa"/>
            <w:tcBorders>
              <w:top w:val="nil"/>
              <w:left w:val="nil"/>
              <w:right w:val="nil"/>
            </w:tcBorders>
            <w:vAlign w:val="bottom"/>
          </w:tcPr>
          <w:p w14:paraId="1DE0A706" w14:textId="77777777" w:rsidR="00C16089" w:rsidRDefault="00C16089" w:rsidP="00097633">
            <w:pPr>
              <w:pStyle w:val="BodyText"/>
              <w:spacing w:after="0"/>
              <w:rPr>
                <w:color w:val="808080"/>
              </w:rPr>
            </w:pPr>
            <w:r>
              <w:rPr>
                <w:b/>
              </w:rPr>
              <w:t>Unit type or class</w:t>
            </w:r>
            <w:r w:rsidRPr="007D017B">
              <w:rPr>
                <w:color w:val="808080"/>
              </w:rPr>
              <w:t xml:space="preserve"> </w:t>
            </w:r>
          </w:p>
          <w:p w14:paraId="4E745B49" w14:textId="77777777" w:rsidR="00C16089" w:rsidRPr="00DF1BE3" w:rsidRDefault="00C16089" w:rsidP="00097633">
            <w:pPr>
              <w:pStyle w:val="QuestionHelpText"/>
              <w:rPr>
                <w:b/>
              </w:rPr>
            </w:pPr>
            <w:r w:rsidRPr="007D017B">
              <w:t>E.g. One bedroom units</w:t>
            </w:r>
          </w:p>
        </w:tc>
        <w:tc>
          <w:tcPr>
            <w:tcW w:w="4819" w:type="dxa"/>
            <w:tcBorders>
              <w:top w:val="nil"/>
              <w:left w:val="nil"/>
              <w:right w:val="nil"/>
            </w:tcBorders>
            <w:shd w:val="clear" w:color="auto" w:fill="auto"/>
            <w:vAlign w:val="bottom"/>
          </w:tcPr>
          <w:p w14:paraId="60DECBA5" w14:textId="77777777" w:rsidR="00C16089" w:rsidRPr="00DF1BE3" w:rsidRDefault="00C16089" w:rsidP="00097633">
            <w:pPr>
              <w:pStyle w:val="BodyText"/>
              <w:rPr>
                <w:b/>
              </w:rPr>
            </w:pPr>
            <w:r w:rsidRPr="00DF1BE3">
              <w:rPr>
                <w:b/>
              </w:rPr>
              <w:t>Address</w:t>
            </w:r>
            <w:r>
              <w:rPr>
                <w:b/>
              </w:rPr>
              <w:t xml:space="preserve"> of comparable unit </w:t>
            </w:r>
          </w:p>
        </w:tc>
        <w:tc>
          <w:tcPr>
            <w:tcW w:w="1247" w:type="dxa"/>
            <w:tcBorders>
              <w:top w:val="nil"/>
              <w:left w:val="nil"/>
              <w:right w:val="nil"/>
            </w:tcBorders>
            <w:shd w:val="clear" w:color="auto" w:fill="auto"/>
            <w:vAlign w:val="bottom"/>
          </w:tcPr>
          <w:p w14:paraId="5E3767C2" w14:textId="77777777" w:rsidR="00C16089" w:rsidRPr="00DF1BE3" w:rsidRDefault="00C16089" w:rsidP="00097633">
            <w:pPr>
              <w:pStyle w:val="BodyText"/>
              <w:rPr>
                <w:b/>
              </w:rPr>
            </w:pPr>
            <w:r w:rsidRPr="00DF1BE3">
              <w:rPr>
                <w:b/>
              </w:rPr>
              <w:t>Price</w:t>
            </w:r>
          </w:p>
        </w:tc>
        <w:tc>
          <w:tcPr>
            <w:tcW w:w="1248" w:type="dxa"/>
            <w:tcBorders>
              <w:top w:val="nil"/>
              <w:left w:val="nil"/>
              <w:right w:val="nil"/>
            </w:tcBorders>
            <w:shd w:val="clear" w:color="auto" w:fill="auto"/>
            <w:vAlign w:val="bottom"/>
          </w:tcPr>
          <w:p w14:paraId="0E94701F" w14:textId="77777777" w:rsidR="00C16089" w:rsidRPr="00DF1BE3" w:rsidRDefault="00C16089" w:rsidP="00097633">
            <w:pPr>
              <w:pStyle w:val="BodyText"/>
              <w:rPr>
                <w:b/>
              </w:rPr>
            </w:pPr>
            <w:r>
              <w:rPr>
                <w:b/>
              </w:rPr>
              <w:t>Dat</w:t>
            </w:r>
            <w:r w:rsidRPr="00DF1BE3">
              <w:rPr>
                <w:b/>
              </w:rPr>
              <w:t xml:space="preserve">e of </w:t>
            </w:r>
            <w:r>
              <w:rPr>
                <w:b/>
              </w:rPr>
              <w:t>s</w:t>
            </w:r>
            <w:r w:rsidRPr="00DF1BE3">
              <w:rPr>
                <w:b/>
              </w:rPr>
              <w:t>ale</w:t>
            </w:r>
          </w:p>
        </w:tc>
      </w:tr>
      <w:tr w:rsidR="00C16089" w14:paraId="01D4CB79" w14:textId="77777777" w:rsidTr="00097633">
        <w:trPr>
          <w:trHeight w:val="454"/>
        </w:trPr>
        <w:tc>
          <w:tcPr>
            <w:tcW w:w="2184" w:type="dxa"/>
            <w:vMerge w:val="restart"/>
            <w:vAlign w:val="center"/>
          </w:tcPr>
          <w:p w14:paraId="1C3DD249" w14:textId="77777777" w:rsidR="00C16089" w:rsidRDefault="00C16089" w:rsidP="00097633">
            <w:pPr>
              <w:pStyle w:val="BodyText"/>
            </w:pPr>
            <w:r>
              <w:t>Lot 1320 (384m2)</w:t>
            </w:r>
          </w:p>
          <w:p w14:paraId="0AB8EB4D" w14:textId="77777777" w:rsidR="00C16089" w:rsidRPr="00DF1BE3" w:rsidRDefault="00C16089" w:rsidP="00097633">
            <w:pPr>
              <w:pStyle w:val="BodyText"/>
            </w:pPr>
            <w:r>
              <w:t>$280,000</w:t>
            </w:r>
          </w:p>
        </w:tc>
        <w:tc>
          <w:tcPr>
            <w:tcW w:w="4819" w:type="dxa"/>
            <w:shd w:val="clear" w:color="auto" w:fill="auto"/>
            <w:vAlign w:val="center"/>
          </w:tcPr>
          <w:p w14:paraId="7327A5F6" w14:textId="77777777" w:rsidR="00C16089" w:rsidRPr="00AA79F5" w:rsidRDefault="00C16089" w:rsidP="00097633">
            <w:pPr>
              <w:pStyle w:val="BodyText"/>
            </w:pPr>
            <w:r>
              <w:t xml:space="preserve">Lot </w:t>
            </w:r>
            <w:r w:rsidRPr="00D71018">
              <w:t>137</w:t>
            </w:r>
            <w:r>
              <w:t xml:space="preserve"> (</w:t>
            </w:r>
            <w:r w:rsidRPr="00D71018">
              <w:t>375</w:t>
            </w:r>
            <w:r>
              <w:t xml:space="preserve">m2) </w:t>
            </w:r>
            <w:r w:rsidRPr="00D71018">
              <w:t>Grand Central</w:t>
            </w:r>
            <w:r>
              <w:t xml:space="preserve">, </w:t>
            </w:r>
            <w:r w:rsidRPr="00D71018">
              <w:t>Tarneit</w:t>
            </w:r>
          </w:p>
        </w:tc>
        <w:tc>
          <w:tcPr>
            <w:tcW w:w="1247" w:type="dxa"/>
            <w:shd w:val="clear" w:color="auto" w:fill="auto"/>
            <w:vAlign w:val="bottom"/>
          </w:tcPr>
          <w:p w14:paraId="5316C906" w14:textId="77777777" w:rsidR="00C16089" w:rsidRPr="00DF1BE3" w:rsidRDefault="00C16089" w:rsidP="00097633">
            <w:pPr>
              <w:pStyle w:val="BodyText"/>
            </w:pPr>
            <w:r w:rsidRPr="00D71018">
              <w:t>$292,000</w:t>
            </w:r>
          </w:p>
        </w:tc>
        <w:tc>
          <w:tcPr>
            <w:tcW w:w="1248" w:type="dxa"/>
            <w:shd w:val="clear" w:color="auto" w:fill="auto"/>
            <w:vAlign w:val="center"/>
          </w:tcPr>
          <w:p w14:paraId="2C2AD25C" w14:textId="77777777" w:rsidR="00C16089" w:rsidRPr="00DF1BE3" w:rsidRDefault="00C16089" w:rsidP="00097633">
            <w:pPr>
              <w:pStyle w:val="BodyText"/>
            </w:pPr>
            <w:r w:rsidRPr="00D71018">
              <w:t>Mar-21</w:t>
            </w:r>
          </w:p>
        </w:tc>
      </w:tr>
      <w:tr w:rsidR="00C16089" w14:paraId="668BEDA9" w14:textId="77777777" w:rsidTr="00097633">
        <w:trPr>
          <w:trHeight w:val="454"/>
        </w:trPr>
        <w:tc>
          <w:tcPr>
            <w:tcW w:w="2184" w:type="dxa"/>
            <w:vMerge/>
            <w:vAlign w:val="center"/>
          </w:tcPr>
          <w:p w14:paraId="5B8E8F56" w14:textId="77777777" w:rsidR="00C16089" w:rsidRPr="00DF1BE3" w:rsidRDefault="00C16089" w:rsidP="00097633">
            <w:pPr>
              <w:pStyle w:val="BodyText"/>
            </w:pPr>
          </w:p>
        </w:tc>
        <w:tc>
          <w:tcPr>
            <w:tcW w:w="4819" w:type="dxa"/>
            <w:shd w:val="clear" w:color="auto" w:fill="auto"/>
            <w:vAlign w:val="center"/>
          </w:tcPr>
          <w:p w14:paraId="071DC0CC" w14:textId="77777777" w:rsidR="00C16089" w:rsidRPr="00AA79F5" w:rsidRDefault="00C16089" w:rsidP="00097633">
            <w:pPr>
              <w:pStyle w:val="BodyText"/>
            </w:pPr>
            <w:r>
              <w:t xml:space="preserve">Lot </w:t>
            </w:r>
            <w:r w:rsidRPr="00D71018">
              <w:t>6221</w:t>
            </w:r>
            <w:r>
              <w:t xml:space="preserve"> (</w:t>
            </w:r>
            <w:r w:rsidRPr="00D71018">
              <w:t>381</w:t>
            </w:r>
            <w:r>
              <w:t xml:space="preserve">m2) </w:t>
            </w:r>
            <w:r w:rsidRPr="00D71018">
              <w:t>The Grove</w:t>
            </w:r>
            <w:r>
              <w:t xml:space="preserve">, </w:t>
            </w:r>
            <w:r w:rsidRPr="00D71018">
              <w:t>Tarneit</w:t>
            </w:r>
          </w:p>
        </w:tc>
        <w:tc>
          <w:tcPr>
            <w:tcW w:w="1247" w:type="dxa"/>
            <w:shd w:val="clear" w:color="auto" w:fill="auto"/>
            <w:vAlign w:val="bottom"/>
          </w:tcPr>
          <w:p w14:paraId="1B7A0177" w14:textId="77777777" w:rsidR="00C16089" w:rsidRPr="00DF1BE3" w:rsidRDefault="00C16089" w:rsidP="00097633">
            <w:pPr>
              <w:pStyle w:val="BodyText"/>
            </w:pPr>
            <w:r w:rsidRPr="00D71018">
              <w:t>$297,000</w:t>
            </w:r>
          </w:p>
        </w:tc>
        <w:tc>
          <w:tcPr>
            <w:tcW w:w="1248" w:type="dxa"/>
            <w:shd w:val="clear" w:color="auto" w:fill="auto"/>
            <w:vAlign w:val="center"/>
          </w:tcPr>
          <w:p w14:paraId="32970447" w14:textId="77777777" w:rsidR="00C16089" w:rsidRPr="00DF1BE3" w:rsidRDefault="00C16089" w:rsidP="00097633">
            <w:pPr>
              <w:pStyle w:val="BodyText"/>
            </w:pPr>
            <w:r w:rsidRPr="00D71018">
              <w:t>Apr-21</w:t>
            </w:r>
          </w:p>
        </w:tc>
      </w:tr>
      <w:tr w:rsidR="00C16089" w14:paraId="734DC5F0" w14:textId="77777777" w:rsidTr="00097633">
        <w:trPr>
          <w:trHeight w:val="454"/>
        </w:trPr>
        <w:tc>
          <w:tcPr>
            <w:tcW w:w="2184" w:type="dxa"/>
            <w:vMerge/>
            <w:vAlign w:val="center"/>
          </w:tcPr>
          <w:p w14:paraId="21294C61" w14:textId="77777777" w:rsidR="00C16089" w:rsidRPr="00DF1BE3" w:rsidRDefault="00C16089" w:rsidP="00097633">
            <w:pPr>
              <w:pStyle w:val="BodyText"/>
            </w:pPr>
          </w:p>
        </w:tc>
        <w:tc>
          <w:tcPr>
            <w:tcW w:w="4819" w:type="dxa"/>
            <w:shd w:val="clear" w:color="auto" w:fill="auto"/>
            <w:vAlign w:val="center"/>
          </w:tcPr>
          <w:p w14:paraId="4863F2DD" w14:textId="77777777" w:rsidR="00C16089" w:rsidRPr="00AA79F5" w:rsidRDefault="00C16089" w:rsidP="00097633">
            <w:pPr>
              <w:pStyle w:val="BodyText"/>
            </w:pPr>
            <w:r>
              <w:t xml:space="preserve">Lot </w:t>
            </w:r>
            <w:r w:rsidRPr="00D71018">
              <w:t>1326</w:t>
            </w:r>
            <w:r>
              <w:t xml:space="preserve"> (</w:t>
            </w:r>
            <w:r w:rsidRPr="00D71018">
              <w:t>392</w:t>
            </w:r>
            <w:r>
              <w:t xml:space="preserve">m2) </w:t>
            </w:r>
            <w:r w:rsidRPr="00D71018">
              <w:t>Verdant Hill</w:t>
            </w:r>
            <w:r>
              <w:t xml:space="preserve">, </w:t>
            </w:r>
            <w:r w:rsidRPr="00D71018">
              <w:t>Tarneit</w:t>
            </w:r>
          </w:p>
        </w:tc>
        <w:tc>
          <w:tcPr>
            <w:tcW w:w="1247" w:type="dxa"/>
            <w:shd w:val="clear" w:color="auto" w:fill="auto"/>
            <w:vAlign w:val="bottom"/>
          </w:tcPr>
          <w:p w14:paraId="3D68E905" w14:textId="77777777" w:rsidR="00C16089" w:rsidRPr="00DF1BE3" w:rsidRDefault="00C16089" w:rsidP="00097633">
            <w:pPr>
              <w:pStyle w:val="BodyText"/>
            </w:pPr>
            <w:r w:rsidRPr="00D71018">
              <w:t>$308,000</w:t>
            </w:r>
          </w:p>
        </w:tc>
        <w:tc>
          <w:tcPr>
            <w:tcW w:w="1248" w:type="dxa"/>
            <w:shd w:val="clear" w:color="auto" w:fill="auto"/>
            <w:vAlign w:val="center"/>
          </w:tcPr>
          <w:p w14:paraId="7CC02B65" w14:textId="77777777" w:rsidR="00C16089" w:rsidRPr="00DF1BE3" w:rsidRDefault="00C16089" w:rsidP="00097633">
            <w:pPr>
              <w:pStyle w:val="BodyText"/>
            </w:pPr>
            <w:r w:rsidRPr="00D71018">
              <w:t>Mar-21</w:t>
            </w:r>
          </w:p>
        </w:tc>
      </w:tr>
    </w:tbl>
    <w:p w14:paraId="09AF78F5" w14:textId="77777777" w:rsidR="00C16089" w:rsidRDefault="00C16089" w:rsidP="00C16089">
      <w:pPr>
        <w:pStyle w:val="BodyText"/>
        <w:spacing w:before="360"/>
        <w:rPr>
          <w:b/>
          <w:bCs/>
        </w:rPr>
      </w:pPr>
    </w:p>
    <w:p w14:paraId="4097E2B2" w14:textId="2BC010B8" w:rsidR="00C16089" w:rsidRDefault="00C16089">
      <w:pPr>
        <w:spacing w:before="0" w:after="160" w:line="259" w:lineRule="auto"/>
        <w:rPr>
          <w:rFonts w:cs="Arial"/>
          <w:b/>
          <w:szCs w:val="18"/>
        </w:rPr>
      </w:pPr>
      <w:r>
        <w:rPr>
          <w:b/>
        </w:rPr>
        <w:br w:type="page"/>
      </w:r>
    </w:p>
    <w:p w14:paraId="024E21CA" w14:textId="77777777" w:rsidR="00C16089" w:rsidRDefault="00C16089" w:rsidP="00A87DE1">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016C1C" w:rsidRPr="004E4EE7" w14:paraId="5C62EF75" w14:textId="77777777" w:rsidTr="00097633">
        <w:trPr>
          <w:trHeight w:val="454"/>
          <w:tblHeader/>
        </w:trPr>
        <w:tc>
          <w:tcPr>
            <w:tcW w:w="2184" w:type="dxa"/>
            <w:tcBorders>
              <w:top w:val="nil"/>
              <w:left w:val="nil"/>
              <w:right w:val="nil"/>
            </w:tcBorders>
            <w:vAlign w:val="bottom"/>
          </w:tcPr>
          <w:p w14:paraId="544AD36F" w14:textId="77777777" w:rsidR="00016C1C" w:rsidRDefault="00016C1C" w:rsidP="00097633">
            <w:pPr>
              <w:pStyle w:val="BodyText"/>
              <w:spacing w:after="0"/>
              <w:rPr>
                <w:color w:val="808080"/>
              </w:rPr>
            </w:pPr>
            <w:r>
              <w:rPr>
                <w:b/>
              </w:rPr>
              <w:t>Unit type or class</w:t>
            </w:r>
            <w:r w:rsidRPr="007D017B">
              <w:rPr>
                <w:color w:val="808080"/>
              </w:rPr>
              <w:t xml:space="preserve"> </w:t>
            </w:r>
          </w:p>
          <w:p w14:paraId="559E3E10" w14:textId="77777777" w:rsidR="00016C1C" w:rsidRPr="00DF1BE3" w:rsidRDefault="00016C1C" w:rsidP="00097633">
            <w:pPr>
              <w:pStyle w:val="QuestionHelpText"/>
              <w:rPr>
                <w:b/>
              </w:rPr>
            </w:pPr>
            <w:r w:rsidRPr="007D017B">
              <w:t>E.g. One bedroom units</w:t>
            </w:r>
          </w:p>
        </w:tc>
        <w:tc>
          <w:tcPr>
            <w:tcW w:w="4819" w:type="dxa"/>
            <w:tcBorders>
              <w:top w:val="nil"/>
              <w:left w:val="nil"/>
              <w:right w:val="nil"/>
            </w:tcBorders>
            <w:shd w:val="clear" w:color="auto" w:fill="auto"/>
            <w:vAlign w:val="bottom"/>
          </w:tcPr>
          <w:p w14:paraId="32BFC581" w14:textId="77777777" w:rsidR="00016C1C" w:rsidRPr="00DF1BE3" w:rsidRDefault="00016C1C" w:rsidP="00097633">
            <w:pPr>
              <w:pStyle w:val="BodyText"/>
              <w:rPr>
                <w:b/>
              </w:rPr>
            </w:pPr>
            <w:r w:rsidRPr="00DF1BE3">
              <w:rPr>
                <w:b/>
              </w:rPr>
              <w:t>Address</w:t>
            </w:r>
            <w:r>
              <w:rPr>
                <w:b/>
              </w:rPr>
              <w:t xml:space="preserve"> of comparable unit </w:t>
            </w:r>
          </w:p>
        </w:tc>
        <w:tc>
          <w:tcPr>
            <w:tcW w:w="1247" w:type="dxa"/>
            <w:tcBorders>
              <w:top w:val="nil"/>
              <w:left w:val="nil"/>
              <w:right w:val="nil"/>
            </w:tcBorders>
            <w:shd w:val="clear" w:color="auto" w:fill="auto"/>
            <w:vAlign w:val="bottom"/>
          </w:tcPr>
          <w:p w14:paraId="0208A99A" w14:textId="77777777" w:rsidR="00016C1C" w:rsidRPr="00DF1BE3" w:rsidRDefault="00016C1C" w:rsidP="00097633">
            <w:pPr>
              <w:pStyle w:val="BodyText"/>
              <w:rPr>
                <w:b/>
              </w:rPr>
            </w:pPr>
            <w:r w:rsidRPr="00DF1BE3">
              <w:rPr>
                <w:b/>
              </w:rPr>
              <w:t>Price</w:t>
            </w:r>
          </w:p>
        </w:tc>
        <w:tc>
          <w:tcPr>
            <w:tcW w:w="1248" w:type="dxa"/>
            <w:tcBorders>
              <w:top w:val="nil"/>
              <w:left w:val="nil"/>
              <w:right w:val="nil"/>
            </w:tcBorders>
            <w:shd w:val="clear" w:color="auto" w:fill="auto"/>
            <w:vAlign w:val="bottom"/>
          </w:tcPr>
          <w:p w14:paraId="215F3437" w14:textId="77777777" w:rsidR="00016C1C" w:rsidRPr="00DF1BE3" w:rsidRDefault="00016C1C" w:rsidP="00097633">
            <w:pPr>
              <w:pStyle w:val="BodyText"/>
              <w:rPr>
                <w:b/>
              </w:rPr>
            </w:pPr>
            <w:r>
              <w:rPr>
                <w:b/>
              </w:rPr>
              <w:t>Dat</w:t>
            </w:r>
            <w:r w:rsidRPr="00DF1BE3">
              <w:rPr>
                <w:b/>
              </w:rPr>
              <w:t xml:space="preserve">e of </w:t>
            </w:r>
            <w:r>
              <w:rPr>
                <w:b/>
              </w:rPr>
              <w:t>s</w:t>
            </w:r>
            <w:r w:rsidRPr="00DF1BE3">
              <w:rPr>
                <w:b/>
              </w:rPr>
              <w:t>ale</w:t>
            </w:r>
          </w:p>
        </w:tc>
      </w:tr>
      <w:tr w:rsidR="00016C1C" w14:paraId="4877826A" w14:textId="77777777" w:rsidTr="00097633">
        <w:trPr>
          <w:trHeight w:val="454"/>
        </w:trPr>
        <w:tc>
          <w:tcPr>
            <w:tcW w:w="2184" w:type="dxa"/>
            <w:vMerge w:val="restart"/>
            <w:vAlign w:val="center"/>
          </w:tcPr>
          <w:p w14:paraId="5E8990B6" w14:textId="77777777" w:rsidR="00016C1C" w:rsidRPr="00DF1BE3" w:rsidRDefault="00016C1C" w:rsidP="00016C1C">
            <w:pPr>
              <w:pStyle w:val="BodyText"/>
            </w:pPr>
            <w:r>
              <w:t>Lot 1041 (328m2)</w:t>
            </w:r>
          </w:p>
          <w:p w14:paraId="5F348718" w14:textId="5F4CE36C" w:rsidR="00016C1C" w:rsidRPr="00DF1BE3" w:rsidRDefault="00016C1C" w:rsidP="00016C1C">
            <w:pPr>
              <w:pStyle w:val="BodyText"/>
            </w:pPr>
          </w:p>
        </w:tc>
        <w:tc>
          <w:tcPr>
            <w:tcW w:w="4819" w:type="dxa"/>
            <w:shd w:val="clear" w:color="auto" w:fill="auto"/>
            <w:vAlign w:val="center"/>
          </w:tcPr>
          <w:p w14:paraId="7D2F81AD" w14:textId="674A122C" w:rsidR="00016C1C" w:rsidRPr="00932891" w:rsidRDefault="00C16089" w:rsidP="00016C1C">
            <w:pPr>
              <w:pStyle w:val="BodyText"/>
            </w:pPr>
            <w:r>
              <w:t>Lot 17823, Manor Lakes, Manor Lakes (329m2)</w:t>
            </w:r>
          </w:p>
        </w:tc>
        <w:tc>
          <w:tcPr>
            <w:tcW w:w="1247" w:type="dxa"/>
            <w:shd w:val="clear" w:color="auto" w:fill="auto"/>
            <w:vAlign w:val="bottom"/>
          </w:tcPr>
          <w:p w14:paraId="228EC183" w14:textId="22F3A21B" w:rsidR="00016C1C" w:rsidRPr="00DF1BE3" w:rsidRDefault="00C16089" w:rsidP="00016C1C">
            <w:pPr>
              <w:pStyle w:val="BodyText"/>
            </w:pPr>
            <w:r>
              <w:t>$268,900</w:t>
            </w:r>
          </w:p>
        </w:tc>
        <w:tc>
          <w:tcPr>
            <w:tcW w:w="1248" w:type="dxa"/>
            <w:shd w:val="clear" w:color="auto" w:fill="auto"/>
            <w:vAlign w:val="bottom"/>
          </w:tcPr>
          <w:p w14:paraId="59A27536" w14:textId="6460EFD9" w:rsidR="00016C1C" w:rsidRPr="00DF1BE3" w:rsidRDefault="00C16089" w:rsidP="00016C1C">
            <w:pPr>
              <w:pStyle w:val="BodyText"/>
            </w:pPr>
            <w:r>
              <w:t>Jun-21</w:t>
            </w:r>
          </w:p>
        </w:tc>
      </w:tr>
      <w:tr w:rsidR="00016C1C" w14:paraId="699A8264" w14:textId="77777777" w:rsidTr="00097633">
        <w:trPr>
          <w:trHeight w:val="454"/>
        </w:trPr>
        <w:tc>
          <w:tcPr>
            <w:tcW w:w="2184" w:type="dxa"/>
            <w:vMerge/>
            <w:vAlign w:val="center"/>
          </w:tcPr>
          <w:p w14:paraId="2BD308A2" w14:textId="77777777" w:rsidR="00016C1C" w:rsidRPr="00DF1BE3" w:rsidRDefault="00016C1C" w:rsidP="00016C1C">
            <w:pPr>
              <w:pStyle w:val="BodyText"/>
            </w:pPr>
          </w:p>
        </w:tc>
        <w:tc>
          <w:tcPr>
            <w:tcW w:w="4819" w:type="dxa"/>
            <w:shd w:val="clear" w:color="auto" w:fill="auto"/>
            <w:vAlign w:val="center"/>
          </w:tcPr>
          <w:p w14:paraId="59FEE672" w14:textId="47C6F0A9" w:rsidR="00016C1C" w:rsidRPr="00932891" w:rsidRDefault="00C16089" w:rsidP="00016C1C">
            <w:pPr>
              <w:pStyle w:val="BodyText"/>
            </w:pPr>
            <w:r>
              <w:t>Lot 227, Parklane Gardens, Wyndham Vale (331m2)</w:t>
            </w:r>
          </w:p>
        </w:tc>
        <w:tc>
          <w:tcPr>
            <w:tcW w:w="1247" w:type="dxa"/>
            <w:shd w:val="clear" w:color="auto" w:fill="auto"/>
            <w:vAlign w:val="bottom"/>
          </w:tcPr>
          <w:p w14:paraId="22DB9B14" w14:textId="5403F741" w:rsidR="00016C1C" w:rsidRPr="00DF1BE3" w:rsidRDefault="00C16089" w:rsidP="00016C1C">
            <w:pPr>
              <w:pStyle w:val="BodyText"/>
            </w:pPr>
            <w:r>
              <w:t>$289,900</w:t>
            </w:r>
          </w:p>
        </w:tc>
        <w:tc>
          <w:tcPr>
            <w:tcW w:w="1248" w:type="dxa"/>
            <w:shd w:val="clear" w:color="auto" w:fill="auto"/>
            <w:vAlign w:val="bottom"/>
          </w:tcPr>
          <w:p w14:paraId="5DD904D0" w14:textId="7B374E68" w:rsidR="00016C1C" w:rsidRPr="00DF1BE3" w:rsidRDefault="00C16089" w:rsidP="00016C1C">
            <w:pPr>
              <w:pStyle w:val="BodyText"/>
            </w:pPr>
            <w:r>
              <w:t>Jun-21</w:t>
            </w:r>
          </w:p>
        </w:tc>
      </w:tr>
      <w:tr w:rsidR="00016C1C" w14:paraId="2D775A22" w14:textId="77777777" w:rsidTr="00097633">
        <w:trPr>
          <w:trHeight w:val="454"/>
        </w:trPr>
        <w:tc>
          <w:tcPr>
            <w:tcW w:w="2184" w:type="dxa"/>
            <w:vMerge/>
            <w:vAlign w:val="center"/>
          </w:tcPr>
          <w:p w14:paraId="67892692" w14:textId="77777777" w:rsidR="00016C1C" w:rsidRPr="00DF1BE3" w:rsidRDefault="00016C1C" w:rsidP="00016C1C">
            <w:pPr>
              <w:pStyle w:val="BodyText"/>
            </w:pPr>
          </w:p>
        </w:tc>
        <w:tc>
          <w:tcPr>
            <w:tcW w:w="4819" w:type="dxa"/>
            <w:shd w:val="clear" w:color="auto" w:fill="auto"/>
            <w:vAlign w:val="center"/>
          </w:tcPr>
          <w:p w14:paraId="13998CA1" w14:textId="572093B7" w:rsidR="00016C1C" w:rsidRPr="00932891" w:rsidRDefault="00C16089" w:rsidP="00016C1C">
            <w:pPr>
              <w:pStyle w:val="BodyText"/>
            </w:pPr>
            <w:r>
              <w:t>Lot 209, Parkview, Tarneit (333m2)</w:t>
            </w:r>
          </w:p>
        </w:tc>
        <w:tc>
          <w:tcPr>
            <w:tcW w:w="1247" w:type="dxa"/>
            <w:shd w:val="clear" w:color="auto" w:fill="auto"/>
            <w:vAlign w:val="bottom"/>
          </w:tcPr>
          <w:p w14:paraId="04B4AAF3" w14:textId="0D947BAD" w:rsidR="00016C1C" w:rsidRPr="00DF1BE3" w:rsidRDefault="00C16089" w:rsidP="00016C1C">
            <w:pPr>
              <w:pStyle w:val="BodyText"/>
            </w:pPr>
            <w:r>
              <w:t>$</w:t>
            </w:r>
            <w:r w:rsidR="00267F94">
              <w:t>283,000</w:t>
            </w:r>
          </w:p>
        </w:tc>
        <w:tc>
          <w:tcPr>
            <w:tcW w:w="1248" w:type="dxa"/>
            <w:shd w:val="clear" w:color="auto" w:fill="auto"/>
            <w:vAlign w:val="bottom"/>
          </w:tcPr>
          <w:p w14:paraId="220ED112" w14:textId="654A3BA9" w:rsidR="00016C1C" w:rsidRPr="00DF1BE3" w:rsidRDefault="00267F94" w:rsidP="00016C1C">
            <w:pPr>
              <w:pStyle w:val="BodyText"/>
            </w:pPr>
            <w:r>
              <w:t>May-21</w:t>
            </w:r>
          </w:p>
        </w:tc>
      </w:tr>
    </w:tbl>
    <w:p w14:paraId="56C9A5D7" w14:textId="11FB64F2" w:rsidR="00C16089" w:rsidRDefault="00C16089" w:rsidP="00016C1C">
      <w:pPr>
        <w:pStyle w:val="BodyText"/>
        <w:rPr>
          <w:b/>
        </w:rPr>
      </w:pPr>
    </w:p>
    <w:p w14:paraId="1335CCB8" w14:textId="77777777" w:rsidR="00016C1C" w:rsidRDefault="00016C1C" w:rsidP="00016C1C">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016C1C" w:rsidRPr="004E4EE7" w14:paraId="3230BFA8" w14:textId="77777777" w:rsidTr="00097633">
        <w:trPr>
          <w:trHeight w:val="454"/>
          <w:tblHeader/>
        </w:trPr>
        <w:tc>
          <w:tcPr>
            <w:tcW w:w="2184" w:type="dxa"/>
            <w:tcBorders>
              <w:top w:val="nil"/>
              <w:left w:val="nil"/>
              <w:right w:val="nil"/>
            </w:tcBorders>
            <w:vAlign w:val="bottom"/>
          </w:tcPr>
          <w:p w14:paraId="2D07E591" w14:textId="77777777" w:rsidR="00016C1C" w:rsidRDefault="00016C1C" w:rsidP="00097633">
            <w:pPr>
              <w:pStyle w:val="BodyText"/>
              <w:spacing w:after="0"/>
              <w:rPr>
                <w:color w:val="808080"/>
              </w:rPr>
            </w:pPr>
            <w:r>
              <w:rPr>
                <w:b/>
              </w:rPr>
              <w:t>Unit type or class</w:t>
            </w:r>
            <w:r w:rsidRPr="007D017B">
              <w:rPr>
                <w:color w:val="808080"/>
              </w:rPr>
              <w:t xml:space="preserve"> </w:t>
            </w:r>
          </w:p>
          <w:p w14:paraId="22FEC31F" w14:textId="77777777" w:rsidR="00016C1C" w:rsidRPr="00DF1BE3" w:rsidRDefault="00016C1C" w:rsidP="00097633">
            <w:pPr>
              <w:pStyle w:val="QuestionHelpText"/>
              <w:rPr>
                <w:b/>
              </w:rPr>
            </w:pPr>
            <w:r w:rsidRPr="007D017B">
              <w:t>E.g. One bedroom units</w:t>
            </w:r>
          </w:p>
        </w:tc>
        <w:tc>
          <w:tcPr>
            <w:tcW w:w="4819" w:type="dxa"/>
            <w:tcBorders>
              <w:top w:val="nil"/>
              <w:left w:val="nil"/>
              <w:right w:val="nil"/>
            </w:tcBorders>
            <w:shd w:val="clear" w:color="auto" w:fill="auto"/>
            <w:vAlign w:val="bottom"/>
          </w:tcPr>
          <w:p w14:paraId="22902EC4" w14:textId="77777777" w:rsidR="00016C1C" w:rsidRPr="00DF1BE3" w:rsidRDefault="00016C1C" w:rsidP="00097633">
            <w:pPr>
              <w:pStyle w:val="BodyText"/>
              <w:rPr>
                <w:b/>
              </w:rPr>
            </w:pPr>
            <w:r w:rsidRPr="00DF1BE3">
              <w:rPr>
                <w:b/>
              </w:rPr>
              <w:t>Address</w:t>
            </w:r>
            <w:r>
              <w:rPr>
                <w:b/>
              </w:rPr>
              <w:t xml:space="preserve"> of comparable unit </w:t>
            </w:r>
          </w:p>
        </w:tc>
        <w:tc>
          <w:tcPr>
            <w:tcW w:w="1247" w:type="dxa"/>
            <w:tcBorders>
              <w:top w:val="nil"/>
              <w:left w:val="nil"/>
              <w:right w:val="nil"/>
            </w:tcBorders>
            <w:shd w:val="clear" w:color="auto" w:fill="auto"/>
            <w:vAlign w:val="bottom"/>
          </w:tcPr>
          <w:p w14:paraId="105ED904" w14:textId="77777777" w:rsidR="00016C1C" w:rsidRPr="00DF1BE3" w:rsidRDefault="00016C1C" w:rsidP="00097633">
            <w:pPr>
              <w:pStyle w:val="BodyText"/>
              <w:rPr>
                <w:b/>
              </w:rPr>
            </w:pPr>
            <w:r w:rsidRPr="00DF1BE3">
              <w:rPr>
                <w:b/>
              </w:rPr>
              <w:t>Price</w:t>
            </w:r>
          </w:p>
        </w:tc>
        <w:tc>
          <w:tcPr>
            <w:tcW w:w="1248" w:type="dxa"/>
            <w:tcBorders>
              <w:top w:val="nil"/>
              <w:left w:val="nil"/>
              <w:right w:val="nil"/>
            </w:tcBorders>
            <w:shd w:val="clear" w:color="auto" w:fill="auto"/>
            <w:vAlign w:val="bottom"/>
          </w:tcPr>
          <w:p w14:paraId="21B830B1" w14:textId="77777777" w:rsidR="00016C1C" w:rsidRPr="00DF1BE3" w:rsidRDefault="00016C1C" w:rsidP="00097633">
            <w:pPr>
              <w:pStyle w:val="BodyText"/>
              <w:rPr>
                <w:b/>
              </w:rPr>
            </w:pPr>
            <w:r>
              <w:rPr>
                <w:b/>
              </w:rPr>
              <w:t>Dat</w:t>
            </w:r>
            <w:r w:rsidRPr="00DF1BE3">
              <w:rPr>
                <w:b/>
              </w:rPr>
              <w:t xml:space="preserve">e of </w:t>
            </w:r>
            <w:r>
              <w:rPr>
                <w:b/>
              </w:rPr>
              <w:t>s</w:t>
            </w:r>
            <w:r w:rsidRPr="00DF1BE3">
              <w:rPr>
                <w:b/>
              </w:rPr>
              <w:t>ale</w:t>
            </w:r>
          </w:p>
        </w:tc>
      </w:tr>
      <w:tr w:rsidR="00016C1C" w14:paraId="11FDADEC" w14:textId="77777777" w:rsidTr="00097633">
        <w:trPr>
          <w:trHeight w:val="454"/>
        </w:trPr>
        <w:tc>
          <w:tcPr>
            <w:tcW w:w="2184" w:type="dxa"/>
            <w:vMerge w:val="restart"/>
            <w:vAlign w:val="center"/>
          </w:tcPr>
          <w:p w14:paraId="13356334" w14:textId="43D51351" w:rsidR="00016C1C" w:rsidRPr="00DF1BE3" w:rsidRDefault="00016C1C" w:rsidP="00016C1C">
            <w:pPr>
              <w:pStyle w:val="BodyText"/>
            </w:pPr>
            <w:r>
              <w:t>Lot 1035 (400m2)</w:t>
            </w:r>
          </w:p>
        </w:tc>
        <w:tc>
          <w:tcPr>
            <w:tcW w:w="4819" w:type="dxa"/>
            <w:shd w:val="clear" w:color="auto" w:fill="auto"/>
            <w:vAlign w:val="center"/>
          </w:tcPr>
          <w:p w14:paraId="022B8D33" w14:textId="4928B136" w:rsidR="00016C1C" w:rsidRPr="00932891" w:rsidRDefault="005449DA" w:rsidP="00016C1C">
            <w:pPr>
              <w:pStyle w:val="BodyText"/>
            </w:pPr>
            <w:r>
              <w:t>Lot 2031, Creekstone, Tarneit (400m2)</w:t>
            </w:r>
          </w:p>
        </w:tc>
        <w:tc>
          <w:tcPr>
            <w:tcW w:w="1247" w:type="dxa"/>
            <w:shd w:val="clear" w:color="auto" w:fill="auto"/>
            <w:vAlign w:val="bottom"/>
          </w:tcPr>
          <w:p w14:paraId="5BD47FB1" w14:textId="3D5B4F62" w:rsidR="00016C1C" w:rsidRPr="00DF1BE3" w:rsidRDefault="005449DA" w:rsidP="00016C1C">
            <w:pPr>
              <w:pStyle w:val="BodyText"/>
            </w:pPr>
            <w:r>
              <w:t>$352,000</w:t>
            </w:r>
          </w:p>
        </w:tc>
        <w:tc>
          <w:tcPr>
            <w:tcW w:w="1248" w:type="dxa"/>
            <w:shd w:val="clear" w:color="auto" w:fill="auto"/>
            <w:vAlign w:val="bottom"/>
          </w:tcPr>
          <w:p w14:paraId="0233A2EA" w14:textId="0A4A8607" w:rsidR="00016C1C" w:rsidRPr="00DF1BE3" w:rsidRDefault="005449DA" w:rsidP="00016C1C">
            <w:pPr>
              <w:pStyle w:val="BodyText"/>
            </w:pPr>
            <w:r>
              <w:t>Jun-21</w:t>
            </w:r>
          </w:p>
        </w:tc>
      </w:tr>
      <w:tr w:rsidR="00016C1C" w14:paraId="30A0C2C7" w14:textId="77777777" w:rsidTr="00097633">
        <w:trPr>
          <w:trHeight w:val="454"/>
        </w:trPr>
        <w:tc>
          <w:tcPr>
            <w:tcW w:w="2184" w:type="dxa"/>
            <w:vMerge/>
            <w:vAlign w:val="center"/>
          </w:tcPr>
          <w:p w14:paraId="4C05F214" w14:textId="77777777" w:rsidR="00016C1C" w:rsidRPr="00DF1BE3" w:rsidRDefault="00016C1C" w:rsidP="00016C1C">
            <w:pPr>
              <w:pStyle w:val="BodyText"/>
            </w:pPr>
          </w:p>
        </w:tc>
        <w:tc>
          <w:tcPr>
            <w:tcW w:w="4819" w:type="dxa"/>
            <w:shd w:val="clear" w:color="auto" w:fill="auto"/>
            <w:vAlign w:val="center"/>
          </w:tcPr>
          <w:p w14:paraId="1B24D4B7" w14:textId="4C413EB6" w:rsidR="00016C1C" w:rsidRPr="00932891" w:rsidRDefault="005449DA" w:rsidP="00016C1C">
            <w:pPr>
              <w:pStyle w:val="BodyText"/>
            </w:pPr>
            <w:r>
              <w:t>Lot 910, Grand Central, Tarneit (400m2)</w:t>
            </w:r>
          </w:p>
        </w:tc>
        <w:tc>
          <w:tcPr>
            <w:tcW w:w="1247" w:type="dxa"/>
            <w:shd w:val="clear" w:color="auto" w:fill="auto"/>
            <w:vAlign w:val="bottom"/>
          </w:tcPr>
          <w:p w14:paraId="6F013616" w14:textId="2E7BB87D" w:rsidR="00016C1C" w:rsidRPr="00DF1BE3" w:rsidRDefault="005449DA" w:rsidP="00016C1C">
            <w:pPr>
              <w:pStyle w:val="BodyText"/>
            </w:pPr>
            <w:r>
              <w:t>$341,000</w:t>
            </w:r>
          </w:p>
        </w:tc>
        <w:tc>
          <w:tcPr>
            <w:tcW w:w="1248" w:type="dxa"/>
            <w:shd w:val="clear" w:color="auto" w:fill="auto"/>
            <w:vAlign w:val="bottom"/>
          </w:tcPr>
          <w:p w14:paraId="1C84E062" w14:textId="06A91EF4" w:rsidR="00016C1C" w:rsidRPr="00DF1BE3" w:rsidRDefault="005449DA" w:rsidP="00016C1C">
            <w:pPr>
              <w:pStyle w:val="BodyText"/>
            </w:pPr>
            <w:r>
              <w:t>Jun-21</w:t>
            </w:r>
          </w:p>
        </w:tc>
      </w:tr>
      <w:tr w:rsidR="00016C1C" w14:paraId="7B7232E4" w14:textId="77777777" w:rsidTr="00097633">
        <w:trPr>
          <w:trHeight w:val="454"/>
        </w:trPr>
        <w:tc>
          <w:tcPr>
            <w:tcW w:w="2184" w:type="dxa"/>
            <w:vMerge/>
            <w:vAlign w:val="center"/>
          </w:tcPr>
          <w:p w14:paraId="225D2875" w14:textId="77777777" w:rsidR="00016C1C" w:rsidRPr="00DF1BE3" w:rsidRDefault="00016C1C" w:rsidP="00016C1C">
            <w:pPr>
              <w:pStyle w:val="BodyText"/>
            </w:pPr>
          </w:p>
        </w:tc>
        <w:tc>
          <w:tcPr>
            <w:tcW w:w="4819" w:type="dxa"/>
            <w:shd w:val="clear" w:color="auto" w:fill="auto"/>
            <w:vAlign w:val="center"/>
          </w:tcPr>
          <w:p w14:paraId="6AE5D403" w14:textId="58B681DF" w:rsidR="00016C1C" w:rsidRPr="00932891" w:rsidRDefault="005449DA" w:rsidP="00016C1C">
            <w:pPr>
              <w:pStyle w:val="BodyText"/>
            </w:pPr>
            <w:r>
              <w:t>Lot 1226, Orchard, Tarneit (400m2)</w:t>
            </w:r>
          </w:p>
        </w:tc>
        <w:tc>
          <w:tcPr>
            <w:tcW w:w="1247" w:type="dxa"/>
            <w:shd w:val="clear" w:color="auto" w:fill="auto"/>
            <w:vAlign w:val="bottom"/>
          </w:tcPr>
          <w:p w14:paraId="0E036A2F" w14:textId="5C50A296" w:rsidR="00016C1C" w:rsidRPr="00DF1BE3" w:rsidRDefault="005449DA" w:rsidP="00016C1C">
            <w:pPr>
              <w:pStyle w:val="BodyText"/>
            </w:pPr>
            <w:r>
              <w:t>$325,000</w:t>
            </w:r>
          </w:p>
        </w:tc>
        <w:tc>
          <w:tcPr>
            <w:tcW w:w="1248" w:type="dxa"/>
            <w:shd w:val="clear" w:color="auto" w:fill="auto"/>
            <w:vAlign w:val="bottom"/>
          </w:tcPr>
          <w:p w14:paraId="340D408D" w14:textId="317627A9" w:rsidR="00016C1C" w:rsidRPr="00DF1BE3" w:rsidRDefault="005449DA" w:rsidP="00016C1C">
            <w:pPr>
              <w:pStyle w:val="BodyText"/>
            </w:pPr>
            <w:r>
              <w:t>Jun-21</w:t>
            </w:r>
          </w:p>
        </w:tc>
      </w:tr>
    </w:tbl>
    <w:p w14:paraId="67175494" w14:textId="77777777" w:rsidR="00016C1C" w:rsidRDefault="00016C1C" w:rsidP="00016C1C">
      <w:pPr>
        <w:pStyle w:val="BodyText"/>
        <w:rPr>
          <w:b/>
        </w:rPr>
      </w:pPr>
    </w:p>
    <w:p w14:paraId="1214D676" w14:textId="7E5C038E" w:rsidR="00A87DE1" w:rsidRPr="000F5215" w:rsidRDefault="00A87DE1" w:rsidP="00A87DE1">
      <w:pPr>
        <w:pStyle w:val="BodyText"/>
        <w:spacing w:before="360"/>
        <w:rPr>
          <w:b/>
          <w:bCs/>
        </w:rPr>
      </w:pPr>
      <w:r w:rsidRPr="000F5215">
        <w:rPr>
          <w:b/>
          <w:bCs/>
        </w:rPr>
        <w:t>OR</w:t>
      </w:r>
    </w:p>
    <w:p w14:paraId="447419AD" w14:textId="77777777" w:rsidR="00A87DE1" w:rsidRPr="00B50281" w:rsidRDefault="00A87DE1" w:rsidP="00A87DE1">
      <w:pPr>
        <w:pStyle w:val="BodyText"/>
        <w:spacing w:before="120"/>
        <w:ind w:left="720" w:hanging="720"/>
      </w:pPr>
      <w:r w:rsidRPr="000F5215">
        <w:rPr>
          <w:b/>
          <w:bCs/>
        </w:rPr>
        <w:t>B*</w:t>
      </w:r>
      <w:r>
        <w:tab/>
      </w:r>
      <w:r w:rsidRPr="00EC3F3F">
        <w:t>The estate agent or agent’s representative reasonably believes that fewer than three comparable units were sold within two kilometres of the unit for sale in the last six months.</w:t>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A87DE1" w:rsidRPr="00E623DD" w14:paraId="653B3EB3" w14:textId="77777777" w:rsidTr="00FE6461">
        <w:trPr>
          <w:trHeight w:val="211"/>
        </w:trPr>
        <w:tc>
          <w:tcPr>
            <w:tcW w:w="6804" w:type="dxa"/>
            <w:tcBorders>
              <w:right w:val="single" w:sz="4" w:space="0" w:color="auto"/>
            </w:tcBorders>
            <w:shd w:val="clear" w:color="auto" w:fill="auto"/>
            <w:vAlign w:val="center"/>
          </w:tcPr>
          <w:p w14:paraId="3509CD27" w14:textId="77777777" w:rsidR="00A87DE1" w:rsidRDefault="00A87DE1" w:rsidP="00FE6461">
            <w:pPr>
              <w:pStyle w:val="BodyText"/>
              <w:ind w:left="720" w:hanging="720"/>
              <w:jc w:val="right"/>
              <w:rPr>
                <w:sz w:val="16"/>
                <w:szCs w:val="16"/>
              </w:rPr>
            </w:pPr>
          </w:p>
          <w:p w14:paraId="541019B3" w14:textId="77777777" w:rsidR="00A87DE1" w:rsidRPr="00E623DD" w:rsidRDefault="00A87DE1" w:rsidP="00FE6461">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B6BB47" w14:textId="7203D70E" w:rsidR="00A87DE1" w:rsidRPr="00E623DD" w:rsidRDefault="00C16089" w:rsidP="00FE6461">
            <w:pPr>
              <w:pStyle w:val="BodyText"/>
              <w:spacing w:before="0" w:after="0"/>
              <w:rPr>
                <w:sz w:val="16"/>
                <w:szCs w:val="16"/>
              </w:rPr>
            </w:pPr>
            <w:r>
              <w:rPr>
                <w:sz w:val="16"/>
                <w:szCs w:val="16"/>
              </w:rPr>
              <w:t>27</w:t>
            </w:r>
            <w:r w:rsidR="00A87DE1">
              <w:rPr>
                <w:sz w:val="16"/>
                <w:szCs w:val="16"/>
              </w:rPr>
              <w:t>.</w:t>
            </w:r>
            <w:r>
              <w:rPr>
                <w:sz w:val="16"/>
                <w:szCs w:val="16"/>
              </w:rPr>
              <w:t>0</w:t>
            </w:r>
            <w:r w:rsidR="005A700D">
              <w:rPr>
                <w:sz w:val="16"/>
                <w:szCs w:val="16"/>
              </w:rPr>
              <w:t>7</w:t>
            </w:r>
            <w:r w:rsidR="00A87DE1">
              <w:rPr>
                <w:sz w:val="16"/>
                <w:szCs w:val="16"/>
              </w:rPr>
              <w:t>.2</w:t>
            </w:r>
            <w:r>
              <w:rPr>
                <w:sz w:val="16"/>
                <w:szCs w:val="16"/>
              </w:rPr>
              <w:t>02</w:t>
            </w:r>
            <w:r w:rsidR="00A87DE1">
              <w:rPr>
                <w:sz w:val="16"/>
                <w:szCs w:val="16"/>
              </w:rPr>
              <w:t>1</w:t>
            </w:r>
          </w:p>
        </w:tc>
      </w:tr>
    </w:tbl>
    <w:p w14:paraId="42BCDA75" w14:textId="77777777" w:rsidR="00673ACD" w:rsidRDefault="005449DA" w:rsidP="00EB3E63"/>
    <w:sectPr w:rsidR="00673ACD" w:rsidSect="00A87DE1">
      <w:headerReference w:type="default" r:id="rId6"/>
      <w:footerReference w:type="default" r:id="rId7"/>
      <w:footerReference w:type="first" r:id="rId8"/>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F7161" w14:textId="77777777" w:rsidR="00B76886" w:rsidRDefault="00527A4B">
      <w:pPr>
        <w:spacing w:before="0" w:after="0"/>
      </w:pPr>
      <w:r>
        <w:separator/>
      </w:r>
    </w:p>
  </w:endnote>
  <w:endnote w:type="continuationSeparator" w:id="0">
    <w:p w14:paraId="7BBC9EB5" w14:textId="77777777" w:rsidR="00B76886" w:rsidRDefault="00527A4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77C2" w14:textId="77777777" w:rsidR="00B41769" w:rsidRDefault="0098263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14:paraId="5464497B" w14:textId="77777777" w:rsidR="00B41769" w:rsidRPr="005545CA" w:rsidRDefault="00982639" w:rsidP="000B4C79">
    <w:pPr>
      <w:pStyle w:val="Footer"/>
      <w:tabs>
        <w:tab w:val="clear" w:pos="5387"/>
        <w:tab w:val="center" w:pos="4678"/>
      </w:tabs>
      <w:spacing w:before="360"/>
    </w:pPr>
    <w:r>
      <w:tab/>
    </w:r>
    <w:r>
      <w:rPr>
        <w:noProof/>
      </w:rPr>
      <w:drawing>
        <wp:anchor distT="0" distB="0" distL="114300" distR="114300" simplePos="0" relativeHeight="251660288" behindDoc="0" locked="0" layoutInCell="1" allowOverlap="1" wp14:anchorId="4B099F17" wp14:editId="4B290454">
          <wp:simplePos x="0" y="0"/>
          <wp:positionH relativeFrom="column">
            <wp:posOffset>4476750</wp:posOffset>
          </wp:positionH>
          <wp:positionV relativeFrom="paragraph">
            <wp:posOffset>20320</wp:posOffset>
          </wp:positionV>
          <wp:extent cx="1684655" cy="467995"/>
          <wp:effectExtent l="0" t="0" r="0" b="0"/>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9D69D" w14:textId="77777777" w:rsidR="00B41769" w:rsidRPr="007D2AE5" w:rsidRDefault="00982639" w:rsidP="00C23C8A">
    <w:pPr>
      <w:pStyle w:val="Footer"/>
      <w:tabs>
        <w:tab w:val="clear" w:pos="5387"/>
        <w:tab w:val="center" w:pos="4678"/>
      </w:tabs>
      <w:spacing w:before="360"/>
    </w:pPr>
    <w:r>
      <w:rPr>
        <w:noProof/>
      </w:rPr>
      <w:drawing>
        <wp:anchor distT="0" distB="0" distL="114300" distR="114300" simplePos="0" relativeHeight="251659264" behindDoc="0" locked="0" layoutInCell="1" allowOverlap="1" wp14:anchorId="7F97F596" wp14:editId="03B56AFD">
          <wp:simplePos x="0" y="0"/>
          <wp:positionH relativeFrom="column">
            <wp:posOffset>4476750</wp:posOffset>
          </wp:positionH>
          <wp:positionV relativeFrom="paragraph">
            <wp:posOffset>20320</wp:posOffset>
          </wp:positionV>
          <wp:extent cx="1684655" cy="467995"/>
          <wp:effectExtent l="0" t="0" r="0" b="0"/>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D7B9" w14:textId="77777777" w:rsidR="00B76886" w:rsidRDefault="00527A4B">
      <w:pPr>
        <w:spacing w:before="0" w:after="0"/>
      </w:pPr>
      <w:r>
        <w:separator/>
      </w:r>
    </w:p>
  </w:footnote>
  <w:footnote w:type="continuationSeparator" w:id="0">
    <w:p w14:paraId="5EA8B32C" w14:textId="77777777" w:rsidR="00B76886" w:rsidRDefault="00527A4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2E317" w14:textId="77777777" w:rsidR="00B41769" w:rsidRDefault="00982639">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DE1"/>
    <w:rsid w:val="00016C1C"/>
    <w:rsid w:val="00030579"/>
    <w:rsid w:val="00034768"/>
    <w:rsid w:val="00060505"/>
    <w:rsid w:val="000655DC"/>
    <w:rsid w:val="00106F59"/>
    <w:rsid w:val="00130832"/>
    <w:rsid w:val="0018047E"/>
    <w:rsid w:val="001912D5"/>
    <w:rsid w:val="00193FE2"/>
    <w:rsid w:val="001C20A1"/>
    <w:rsid w:val="001C6239"/>
    <w:rsid w:val="00234756"/>
    <w:rsid w:val="00267F94"/>
    <w:rsid w:val="002720B9"/>
    <w:rsid w:val="002B56C1"/>
    <w:rsid w:val="002C411D"/>
    <w:rsid w:val="003379A4"/>
    <w:rsid w:val="00347BEB"/>
    <w:rsid w:val="003A5A20"/>
    <w:rsid w:val="00445A74"/>
    <w:rsid w:val="00524FBB"/>
    <w:rsid w:val="00527A4B"/>
    <w:rsid w:val="005449DA"/>
    <w:rsid w:val="005A700D"/>
    <w:rsid w:val="005D4601"/>
    <w:rsid w:val="005D7C47"/>
    <w:rsid w:val="006117DE"/>
    <w:rsid w:val="00645B69"/>
    <w:rsid w:val="006801C6"/>
    <w:rsid w:val="006A6CCF"/>
    <w:rsid w:val="006E2496"/>
    <w:rsid w:val="00720BD6"/>
    <w:rsid w:val="007344A7"/>
    <w:rsid w:val="00746B1C"/>
    <w:rsid w:val="00791E58"/>
    <w:rsid w:val="007A6B9D"/>
    <w:rsid w:val="00805BC3"/>
    <w:rsid w:val="00884D83"/>
    <w:rsid w:val="00896B10"/>
    <w:rsid w:val="008B650A"/>
    <w:rsid w:val="00932891"/>
    <w:rsid w:val="00947B41"/>
    <w:rsid w:val="00982639"/>
    <w:rsid w:val="009F39B1"/>
    <w:rsid w:val="00A1319A"/>
    <w:rsid w:val="00A76C36"/>
    <w:rsid w:val="00A87DE1"/>
    <w:rsid w:val="00AA79F5"/>
    <w:rsid w:val="00AC02BA"/>
    <w:rsid w:val="00AC1BE4"/>
    <w:rsid w:val="00AC2463"/>
    <w:rsid w:val="00AD6C08"/>
    <w:rsid w:val="00AF59D6"/>
    <w:rsid w:val="00B02A1F"/>
    <w:rsid w:val="00B76886"/>
    <w:rsid w:val="00B95E7E"/>
    <w:rsid w:val="00BD7DAE"/>
    <w:rsid w:val="00C16089"/>
    <w:rsid w:val="00C406FC"/>
    <w:rsid w:val="00C46915"/>
    <w:rsid w:val="00CF40D7"/>
    <w:rsid w:val="00D23AD8"/>
    <w:rsid w:val="00D71018"/>
    <w:rsid w:val="00DA3E5E"/>
    <w:rsid w:val="00E026DA"/>
    <w:rsid w:val="00E2704B"/>
    <w:rsid w:val="00E42F2D"/>
    <w:rsid w:val="00EB3E63"/>
    <w:rsid w:val="00FB0013"/>
    <w:rsid w:val="00FD35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6A6C"/>
  <w15:chartTrackingRefBased/>
  <w15:docId w15:val="{F10EE702-3451-4EED-8736-D5328FE1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4"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qFormat/>
    <w:rsid w:val="00A87DE1"/>
    <w:pPr>
      <w:spacing w:before="240" w:after="240" w:line="240" w:lineRule="auto"/>
    </w:pPr>
    <w:rPr>
      <w:rFonts w:ascii="Arial" w:eastAsia="Times New Roman" w:hAnsi="Arial" w:cs="Times New Roman"/>
      <w:sz w:val="18"/>
      <w:szCs w:val="24"/>
      <w:lang w:eastAsia="en-AU"/>
    </w:rPr>
  </w:style>
  <w:style w:type="paragraph" w:styleId="Heading1">
    <w:name w:val="heading 1"/>
    <w:basedOn w:val="Normal"/>
    <w:next w:val="BodyText"/>
    <w:link w:val="Heading1Char"/>
    <w:uiPriority w:val="2"/>
    <w:qFormat/>
    <w:rsid w:val="00A87DE1"/>
    <w:pPr>
      <w:spacing w:before="0" w:after="120"/>
      <w:outlineLvl w:val="0"/>
    </w:pPr>
    <w:rPr>
      <w:rFonts w:cs="Arial"/>
      <w:b/>
      <w:sz w:val="36"/>
      <w:szCs w:val="36"/>
    </w:rPr>
  </w:style>
  <w:style w:type="paragraph" w:styleId="Heading2">
    <w:name w:val="heading 2"/>
    <w:basedOn w:val="Normal"/>
    <w:next w:val="BodyText"/>
    <w:link w:val="Heading2Char"/>
    <w:uiPriority w:val="2"/>
    <w:qFormat/>
    <w:rsid w:val="00A87DE1"/>
    <w:pPr>
      <w:spacing w:after="120"/>
      <w:outlineLvl w:val="1"/>
    </w:pPr>
    <w:rPr>
      <w:rFonts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87DE1"/>
    <w:rPr>
      <w:rFonts w:ascii="Arial" w:eastAsia="Times New Roman" w:hAnsi="Arial" w:cs="Arial"/>
      <w:b/>
      <w:sz w:val="36"/>
      <w:szCs w:val="36"/>
      <w:lang w:eastAsia="en-AU"/>
    </w:rPr>
  </w:style>
  <w:style w:type="character" w:customStyle="1" w:styleId="Heading2Char">
    <w:name w:val="Heading 2 Char"/>
    <w:basedOn w:val="DefaultParagraphFont"/>
    <w:link w:val="Heading2"/>
    <w:uiPriority w:val="2"/>
    <w:rsid w:val="00A87DE1"/>
    <w:rPr>
      <w:rFonts w:ascii="Arial" w:eastAsia="Times New Roman" w:hAnsi="Arial" w:cs="Arial"/>
      <w:b/>
      <w:lang w:eastAsia="en-AU"/>
    </w:rPr>
  </w:style>
  <w:style w:type="paragraph" w:styleId="Header">
    <w:name w:val="header"/>
    <w:link w:val="HeaderChar"/>
    <w:uiPriority w:val="98"/>
    <w:semiHidden/>
    <w:rsid w:val="00A87DE1"/>
    <w:pPr>
      <w:tabs>
        <w:tab w:val="right" w:pos="10773"/>
      </w:tabs>
      <w:suppressAutoHyphens/>
      <w:spacing w:after="0" w:line="240" w:lineRule="auto"/>
    </w:pPr>
    <w:rPr>
      <w:rFonts w:ascii="Arial" w:eastAsia="Times New Roman" w:hAnsi="Arial" w:cs="Arial"/>
      <w:sz w:val="16"/>
      <w:szCs w:val="16"/>
      <w:lang w:eastAsia="en-AU"/>
    </w:rPr>
  </w:style>
  <w:style w:type="character" w:customStyle="1" w:styleId="HeaderChar">
    <w:name w:val="Header Char"/>
    <w:basedOn w:val="DefaultParagraphFont"/>
    <w:link w:val="Header"/>
    <w:uiPriority w:val="98"/>
    <w:semiHidden/>
    <w:rsid w:val="00A87DE1"/>
    <w:rPr>
      <w:rFonts w:ascii="Arial" w:eastAsia="Times New Roman" w:hAnsi="Arial" w:cs="Arial"/>
      <w:sz w:val="16"/>
      <w:szCs w:val="16"/>
      <w:lang w:eastAsia="en-AU"/>
    </w:rPr>
  </w:style>
  <w:style w:type="paragraph" w:styleId="Footer">
    <w:name w:val="footer"/>
    <w:link w:val="FooterChar"/>
    <w:uiPriority w:val="99"/>
    <w:rsid w:val="00A87DE1"/>
    <w:pPr>
      <w:tabs>
        <w:tab w:val="center" w:pos="5387"/>
        <w:tab w:val="right" w:pos="10773"/>
      </w:tabs>
      <w:suppressAutoHyphens/>
      <w:spacing w:before="200" w:after="0" w:line="240" w:lineRule="auto"/>
    </w:pPr>
    <w:rPr>
      <w:rFonts w:ascii="Arial" w:eastAsia="Times New Roman" w:hAnsi="Arial" w:cs="Arial"/>
      <w:sz w:val="16"/>
      <w:szCs w:val="16"/>
      <w:lang w:eastAsia="en-AU"/>
    </w:rPr>
  </w:style>
  <w:style w:type="character" w:customStyle="1" w:styleId="FooterChar">
    <w:name w:val="Footer Char"/>
    <w:basedOn w:val="DefaultParagraphFont"/>
    <w:link w:val="Footer"/>
    <w:uiPriority w:val="99"/>
    <w:rsid w:val="00A87DE1"/>
    <w:rPr>
      <w:rFonts w:ascii="Arial" w:eastAsia="Times New Roman" w:hAnsi="Arial" w:cs="Arial"/>
      <w:sz w:val="16"/>
      <w:szCs w:val="16"/>
      <w:lang w:eastAsia="en-AU"/>
    </w:rPr>
  </w:style>
  <w:style w:type="paragraph" w:styleId="BodyText">
    <w:name w:val="Body Text"/>
    <w:link w:val="BodyTextChar"/>
    <w:qFormat/>
    <w:rsid w:val="00A87DE1"/>
    <w:pPr>
      <w:suppressAutoHyphens/>
      <w:spacing w:before="40" w:after="40" w:line="264" w:lineRule="auto"/>
    </w:pPr>
    <w:rPr>
      <w:rFonts w:ascii="Arial" w:eastAsia="Times New Roman" w:hAnsi="Arial" w:cs="Arial"/>
      <w:sz w:val="18"/>
      <w:szCs w:val="18"/>
      <w:lang w:eastAsia="en-AU"/>
    </w:rPr>
  </w:style>
  <w:style w:type="character" w:customStyle="1" w:styleId="BodyTextChar">
    <w:name w:val="Body Text Char"/>
    <w:basedOn w:val="DefaultParagraphFont"/>
    <w:link w:val="BodyText"/>
    <w:rsid w:val="00A87DE1"/>
    <w:rPr>
      <w:rFonts w:ascii="Arial" w:eastAsia="Times New Roman" w:hAnsi="Arial" w:cs="Arial"/>
      <w:sz w:val="18"/>
      <w:szCs w:val="18"/>
      <w:lang w:eastAsia="en-AU"/>
    </w:rPr>
  </w:style>
  <w:style w:type="character" w:customStyle="1" w:styleId="FooterURL">
    <w:name w:val="Footer URL"/>
    <w:rsid w:val="00A87DE1"/>
    <w:rPr>
      <w:sz w:val="22"/>
      <w:szCs w:val="22"/>
    </w:rPr>
  </w:style>
  <w:style w:type="paragraph" w:customStyle="1" w:styleId="QuestionHelpText">
    <w:name w:val="Question Help Text"/>
    <w:basedOn w:val="Normal"/>
    <w:uiPriority w:val="14"/>
    <w:qFormat/>
    <w:rsid w:val="00A87DE1"/>
    <w:pPr>
      <w:suppressAutoHyphens/>
      <w:spacing w:before="0" w:after="40" w:line="264" w:lineRule="auto"/>
    </w:pPr>
    <w:rPr>
      <w:rFonts w:cs="Arial"/>
      <w:color w:val="636363"/>
      <w:szCs w:val="18"/>
    </w:rPr>
  </w:style>
  <w:style w:type="paragraph" w:customStyle="1" w:styleId="Bodystyle">
    <w:name w:val="Body style"/>
    <w:basedOn w:val="Normal"/>
    <w:qFormat/>
    <w:rsid w:val="00A87DE1"/>
    <w:pPr>
      <w:spacing w:before="12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60705">
      <w:bodyDiv w:val="1"/>
      <w:marLeft w:val="0"/>
      <w:marRight w:val="0"/>
      <w:marTop w:val="0"/>
      <w:marBottom w:val="0"/>
      <w:divBdr>
        <w:top w:val="none" w:sz="0" w:space="0" w:color="auto"/>
        <w:left w:val="none" w:sz="0" w:space="0" w:color="auto"/>
        <w:bottom w:val="none" w:sz="0" w:space="0" w:color="auto"/>
        <w:right w:val="none" w:sz="0" w:space="0" w:color="auto"/>
      </w:divBdr>
    </w:div>
    <w:div w:id="181359307">
      <w:bodyDiv w:val="1"/>
      <w:marLeft w:val="0"/>
      <w:marRight w:val="0"/>
      <w:marTop w:val="0"/>
      <w:marBottom w:val="0"/>
      <w:divBdr>
        <w:top w:val="none" w:sz="0" w:space="0" w:color="auto"/>
        <w:left w:val="none" w:sz="0" w:space="0" w:color="auto"/>
        <w:bottom w:val="none" w:sz="0" w:space="0" w:color="auto"/>
        <w:right w:val="none" w:sz="0" w:space="0" w:color="auto"/>
      </w:divBdr>
    </w:div>
    <w:div w:id="223373543">
      <w:bodyDiv w:val="1"/>
      <w:marLeft w:val="0"/>
      <w:marRight w:val="0"/>
      <w:marTop w:val="0"/>
      <w:marBottom w:val="0"/>
      <w:divBdr>
        <w:top w:val="none" w:sz="0" w:space="0" w:color="auto"/>
        <w:left w:val="none" w:sz="0" w:space="0" w:color="auto"/>
        <w:bottom w:val="none" w:sz="0" w:space="0" w:color="auto"/>
        <w:right w:val="none" w:sz="0" w:space="0" w:color="auto"/>
      </w:divBdr>
    </w:div>
    <w:div w:id="352265832">
      <w:bodyDiv w:val="1"/>
      <w:marLeft w:val="0"/>
      <w:marRight w:val="0"/>
      <w:marTop w:val="0"/>
      <w:marBottom w:val="0"/>
      <w:divBdr>
        <w:top w:val="none" w:sz="0" w:space="0" w:color="auto"/>
        <w:left w:val="none" w:sz="0" w:space="0" w:color="auto"/>
        <w:bottom w:val="none" w:sz="0" w:space="0" w:color="auto"/>
        <w:right w:val="none" w:sz="0" w:space="0" w:color="auto"/>
      </w:divBdr>
    </w:div>
    <w:div w:id="478693623">
      <w:bodyDiv w:val="1"/>
      <w:marLeft w:val="0"/>
      <w:marRight w:val="0"/>
      <w:marTop w:val="0"/>
      <w:marBottom w:val="0"/>
      <w:divBdr>
        <w:top w:val="none" w:sz="0" w:space="0" w:color="auto"/>
        <w:left w:val="none" w:sz="0" w:space="0" w:color="auto"/>
        <w:bottom w:val="none" w:sz="0" w:space="0" w:color="auto"/>
        <w:right w:val="none" w:sz="0" w:space="0" w:color="auto"/>
      </w:divBdr>
    </w:div>
    <w:div w:id="583226831">
      <w:bodyDiv w:val="1"/>
      <w:marLeft w:val="0"/>
      <w:marRight w:val="0"/>
      <w:marTop w:val="0"/>
      <w:marBottom w:val="0"/>
      <w:divBdr>
        <w:top w:val="none" w:sz="0" w:space="0" w:color="auto"/>
        <w:left w:val="none" w:sz="0" w:space="0" w:color="auto"/>
        <w:bottom w:val="none" w:sz="0" w:space="0" w:color="auto"/>
        <w:right w:val="none" w:sz="0" w:space="0" w:color="auto"/>
      </w:divBdr>
    </w:div>
    <w:div w:id="831338860">
      <w:bodyDiv w:val="1"/>
      <w:marLeft w:val="0"/>
      <w:marRight w:val="0"/>
      <w:marTop w:val="0"/>
      <w:marBottom w:val="0"/>
      <w:divBdr>
        <w:top w:val="none" w:sz="0" w:space="0" w:color="auto"/>
        <w:left w:val="none" w:sz="0" w:space="0" w:color="auto"/>
        <w:bottom w:val="none" w:sz="0" w:space="0" w:color="auto"/>
        <w:right w:val="none" w:sz="0" w:space="0" w:color="auto"/>
      </w:divBdr>
    </w:div>
    <w:div w:id="888222981">
      <w:bodyDiv w:val="1"/>
      <w:marLeft w:val="0"/>
      <w:marRight w:val="0"/>
      <w:marTop w:val="0"/>
      <w:marBottom w:val="0"/>
      <w:divBdr>
        <w:top w:val="none" w:sz="0" w:space="0" w:color="auto"/>
        <w:left w:val="none" w:sz="0" w:space="0" w:color="auto"/>
        <w:bottom w:val="none" w:sz="0" w:space="0" w:color="auto"/>
        <w:right w:val="none" w:sz="0" w:space="0" w:color="auto"/>
      </w:divBdr>
    </w:div>
    <w:div w:id="1059355910">
      <w:bodyDiv w:val="1"/>
      <w:marLeft w:val="0"/>
      <w:marRight w:val="0"/>
      <w:marTop w:val="0"/>
      <w:marBottom w:val="0"/>
      <w:divBdr>
        <w:top w:val="none" w:sz="0" w:space="0" w:color="auto"/>
        <w:left w:val="none" w:sz="0" w:space="0" w:color="auto"/>
        <w:bottom w:val="none" w:sz="0" w:space="0" w:color="auto"/>
        <w:right w:val="none" w:sz="0" w:space="0" w:color="auto"/>
      </w:divBdr>
    </w:div>
    <w:div w:id="1260866589">
      <w:bodyDiv w:val="1"/>
      <w:marLeft w:val="0"/>
      <w:marRight w:val="0"/>
      <w:marTop w:val="0"/>
      <w:marBottom w:val="0"/>
      <w:divBdr>
        <w:top w:val="none" w:sz="0" w:space="0" w:color="auto"/>
        <w:left w:val="none" w:sz="0" w:space="0" w:color="auto"/>
        <w:bottom w:val="none" w:sz="0" w:space="0" w:color="auto"/>
        <w:right w:val="none" w:sz="0" w:space="0" w:color="auto"/>
      </w:divBdr>
    </w:div>
    <w:div w:id="1436091530">
      <w:bodyDiv w:val="1"/>
      <w:marLeft w:val="0"/>
      <w:marRight w:val="0"/>
      <w:marTop w:val="0"/>
      <w:marBottom w:val="0"/>
      <w:divBdr>
        <w:top w:val="none" w:sz="0" w:space="0" w:color="auto"/>
        <w:left w:val="none" w:sz="0" w:space="0" w:color="auto"/>
        <w:bottom w:val="none" w:sz="0" w:space="0" w:color="auto"/>
        <w:right w:val="none" w:sz="0" w:space="0" w:color="auto"/>
      </w:divBdr>
    </w:div>
    <w:div w:id="1538471947">
      <w:bodyDiv w:val="1"/>
      <w:marLeft w:val="0"/>
      <w:marRight w:val="0"/>
      <w:marTop w:val="0"/>
      <w:marBottom w:val="0"/>
      <w:divBdr>
        <w:top w:val="none" w:sz="0" w:space="0" w:color="auto"/>
        <w:left w:val="none" w:sz="0" w:space="0" w:color="auto"/>
        <w:bottom w:val="none" w:sz="0" w:space="0" w:color="auto"/>
        <w:right w:val="none" w:sz="0" w:space="0" w:color="auto"/>
      </w:divBdr>
    </w:div>
    <w:div w:id="1569683685">
      <w:bodyDiv w:val="1"/>
      <w:marLeft w:val="0"/>
      <w:marRight w:val="0"/>
      <w:marTop w:val="0"/>
      <w:marBottom w:val="0"/>
      <w:divBdr>
        <w:top w:val="none" w:sz="0" w:space="0" w:color="auto"/>
        <w:left w:val="none" w:sz="0" w:space="0" w:color="auto"/>
        <w:bottom w:val="none" w:sz="0" w:space="0" w:color="auto"/>
        <w:right w:val="none" w:sz="0" w:space="0" w:color="auto"/>
      </w:divBdr>
    </w:div>
    <w:div w:id="1742869247">
      <w:bodyDiv w:val="1"/>
      <w:marLeft w:val="0"/>
      <w:marRight w:val="0"/>
      <w:marTop w:val="0"/>
      <w:marBottom w:val="0"/>
      <w:divBdr>
        <w:top w:val="none" w:sz="0" w:space="0" w:color="auto"/>
        <w:left w:val="none" w:sz="0" w:space="0" w:color="auto"/>
        <w:bottom w:val="none" w:sz="0" w:space="0" w:color="auto"/>
        <w:right w:val="none" w:sz="0" w:space="0" w:color="auto"/>
      </w:divBdr>
    </w:div>
    <w:div w:id="1876849245">
      <w:bodyDiv w:val="1"/>
      <w:marLeft w:val="0"/>
      <w:marRight w:val="0"/>
      <w:marTop w:val="0"/>
      <w:marBottom w:val="0"/>
      <w:divBdr>
        <w:top w:val="none" w:sz="0" w:space="0" w:color="auto"/>
        <w:left w:val="none" w:sz="0" w:space="0" w:color="auto"/>
        <w:bottom w:val="none" w:sz="0" w:space="0" w:color="auto"/>
        <w:right w:val="none" w:sz="0" w:space="0" w:color="auto"/>
      </w:divBdr>
    </w:div>
    <w:div w:id="1903828834">
      <w:bodyDiv w:val="1"/>
      <w:marLeft w:val="0"/>
      <w:marRight w:val="0"/>
      <w:marTop w:val="0"/>
      <w:marBottom w:val="0"/>
      <w:divBdr>
        <w:top w:val="none" w:sz="0" w:space="0" w:color="auto"/>
        <w:left w:val="none" w:sz="0" w:space="0" w:color="auto"/>
        <w:bottom w:val="none" w:sz="0" w:space="0" w:color="auto"/>
        <w:right w:val="none" w:sz="0" w:space="0" w:color="auto"/>
      </w:divBdr>
    </w:div>
    <w:div w:id="1934314207">
      <w:bodyDiv w:val="1"/>
      <w:marLeft w:val="0"/>
      <w:marRight w:val="0"/>
      <w:marTop w:val="0"/>
      <w:marBottom w:val="0"/>
      <w:divBdr>
        <w:top w:val="none" w:sz="0" w:space="0" w:color="auto"/>
        <w:left w:val="none" w:sz="0" w:space="0" w:color="auto"/>
        <w:bottom w:val="none" w:sz="0" w:space="0" w:color="auto"/>
        <w:right w:val="none" w:sz="0" w:space="0" w:color="auto"/>
      </w:divBdr>
    </w:div>
    <w:div w:id="2007440956">
      <w:bodyDiv w:val="1"/>
      <w:marLeft w:val="0"/>
      <w:marRight w:val="0"/>
      <w:marTop w:val="0"/>
      <w:marBottom w:val="0"/>
      <w:divBdr>
        <w:top w:val="none" w:sz="0" w:space="0" w:color="auto"/>
        <w:left w:val="none" w:sz="0" w:space="0" w:color="auto"/>
        <w:bottom w:val="none" w:sz="0" w:space="0" w:color="auto"/>
        <w:right w:val="none" w:sz="0" w:space="0" w:color="auto"/>
      </w:divBdr>
    </w:div>
    <w:div w:id="2010719032">
      <w:bodyDiv w:val="1"/>
      <w:marLeft w:val="0"/>
      <w:marRight w:val="0"/>
      <w:marTop w:val="0"/>
      <w:marBottom w:val="0"/>
      <w:divBdr>
        <w:top w:val="none" w:sz="0" w:space="0" w:color="auto"/>
        <w:left w:val="none" w:sz="0" w:space="0" w:color="auto"/>
        <w:bottom w:val="none" w:sz="0" w:space="0" w:color="auto"/>
        <w:right w:val="none" w:sz="0" w:space="0" w:color="auto"/>
      </w:divBdr>
    </w:div>
    <w:div w:id="207149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Marchelle Lyka Picardal - RPM Real Estate Group</dc:creator>
  <cp:keywords/>
  <dc:description/>
  <cp:lastModifiedBy>Nada Youren - RPM Real Estate Group</cp:lastModifiedBy>
  <cp:revision>5</cp:revision>
  <dcterms:created xsi:type="dcterms:W3CDTF">2021-07-27T02:06:00Z</dcterms:created>
  <dcterms:modified xsi:type="dcterms:W3CDTF">2021-07-27T02:35:00Z</dcterms:modified>
</cp:coreProperties>
</file>